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2CD" w:rsidRDefault="0031414A">
      <w:pPr>
        <w:jc w:val="center"/>
        <w:rPr>
          <w:b/>
        </w:rPr>
      </w:pPr>
      <w:r>
        <w:rPr>
          <w:b/>
          <w:noProof/>
          <w:lang w:val="en-US"/>
        </w:rPr>
        <w:drawing>
          <wp:inline distT="114300" distB="114300" distL="114300" distR="114300">
            <wp:extent cx="2066925" cy="1033463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0334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E72CD" w:rsidRDefault="003141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Kindergarten Screening Tool Review </w:t>
      </w:r>
    </w:p>
    <w:p w:rsidR="00DE72CD" w:rsidRDefault="00DE72CD">
      <w:pPr>
        <w:rPr>
          <w:sz w:val="24"/>
          <w:szCs w:val="24"/>
        </w:rPr>
      </w:pPr>
    </w:p>
    <w:p w:rsidR="00DE72CD" w:rsidRDefault="0031414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What is Kindergarten Screening? </w:t>
      </w:r>
      <w:r>
        <w:rPr>
          <w:sz w:val="24"/>
          <w:szCs w:val="24"/>
        </w:rPr>
        <w:t>Kindergarten screening is an assessment process that allows teachers to gauge children’s readiness for Kindergarten by evaluating a variety of domains, including language and literacy, mathematics, social-emotional development, and motor development. Condu</w:t>
      </w:r>
      <w:r>
        <w:rPr>
          <w:sz w:val="24"/>
          <w:szCs w:val="24"/>
        </w:rPr>
        <w:t>cting a Kindergarten screening annually allows teachers to best meet the needs of their students, and helps schools identify students who would benefit from an additional year of Pre-Kindergarten before entering Kindergarten. We recommend that schools cond</w:t>
      </w:r>
      <w:r>
        <w:rPr>
          <w:sz w:val="24"/>
          <w:szCs w:val="24"/>
        </w:rPr>
        <w:t xml:space="preserve">uct this process annually, ideally in the Spring, to prepare to receive the incoming Kindergarten class. </w:t>
      </w:r>
    </w:p>
    <w:p w:rsidR="00DE72CD" w:rsidRDefault="00DE72CD">
      <w:pPr>
        <w:rPr>
          <w:sz w:val="24"/>
          <w:szCs w:val="24"/>
        </w:rPr>
      </w:pPr>
    </w:p>
    <w:p w:rsidR="00DE72CD" w:rsidRDefault="0031414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Screening Tool Review Process: </w:t>
      </w:r>
      <w:r>
        <w:rPr>
          <w:sz w:val="24"/>
          <w:szCs w:val="24"/>
        </w:rPr>
        <w:t xml:space="preserve">The Pre-Kindergarten and Kindergarten curriculum committee identified essential Kindergarten-ready skills that should </w:t>
      </w:r>
      <w:r>
        <w:rPr>
          <w:sz w:val="24"/>
          <w:szCs w:val="24"/>
        </w:rPr>
        <w:t>be assessed during Kindergarten screening. They created a rubric that outlined these skills in addition to other considerations such as test administration, cost, and available professional development. They reviewed a variety of tools using these criteria</w:t>
      </w:r>
      <w:r>
        <w:rPr>
          <w:sz w:val="24"/>
          <w:szCs w:val="24"/>
        </w:rPr>
        <w:t xml:space="preserve"> and identified three tools to review more thoroughly. The tables below outline</w:t>
      </w:r>
      <w:r>
        <w:rPr>
          <w:sz w:val="24"/>
          <w:szCs w:val="24"/>
        </w:rPr>
        <w:t xml:space="preserve"> the committee’s findings after formal informational presentations from each of the companies listed below. </w:t>
      </w:r>
    </w:p>
    <w:p w:rsidR="00DE72CD" w:rsidRDefault="00DE72CD">
      <w:pPr>
        <w:rPr>
          <w:b/>
          <w:sz w:val="24"/>
          <w:szCs w:val="24"/>
        </w:rPr>
      </w:pPr>
    </w:p>
    <w:p w:rsidR="00DE72CD" w:rsidRDefault="0031414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Recommendations for How to Use this Document: </w:t>
      </w:r>
      <w:r>
        <w:rPr>
          <w:sz w:val="24"/>
          <w:szCs w:val="24"/>
        </w:rPr>
        <w:t>Each school has diff</w:t>
      </w:r>
      <w:r>
        <w:rPr>
          <w:sz w:val="24"/>
          <w:szCs w:val="24"/>
        </w:rPr>
        <w:t>erent needs, resources, and challenges</w:t>
      </w:r>
      <w:r>
        <w:rPr>
          <w:sz w:val="24"/>
          <w:szCs w:val="24"/>
        </w:rPr>
        <w:t>. We recommend that schools interested in implementing a formal Kindergarten screening process review the tables below to understand the different features offered by each product. Schools may wish to request a produc</w:t>
      </w:r>
      <w:r>
        <w:rPr>
          <w:sz w:val="24"/>
          <w:szCs w:val="24"/>
        </w:rPr>
        <w:t xml:space="preserve">t demo to gain further insights into each product. After reviewing the information below, schools should choose the product that will best meet the needs and goals of their unique programs. </w:t>
      </w:r>
    </w:p>
    <w:p w:rsidR="00DE72CD" w:rsidRDefault="00DE72CD"/>
    <w:p w:rsidR="00DE72CD" w:rsidRDefault="0031414A">
      <w:pPr>
        <w:rPr>
          <w:sz w:val="24"/>
          <w:szCs w:val="24"/>
        </w:rPr>
      </w:pPr>
      <w:r>
        <w:rPr>
          <w:b/>
          <w:sz w:val="24"/>
          <w:szCs w:val="24"/>
        </w:rPr>
        <w:t>Table 1:</w:t>
      </w:r>
      <w:r>
        <w:rPr>
          <w:sz w:val="24"/>
          <w:szCs w:val="24"/>
        </w:rPr>
        <w:t xml:space="preserve"> Score of each tool assessed using the rubric developed </w:t>
      </w:r>
      <w:r>
        <w:rPr>
          <w:sz w:val="24"/>
          <w:szCs w:val="24"/>
        </w:rPr>
        <w:t xml:space="preserve">by the review committee. </w:t>
      </w:r>
    </w:p>
    <w:p w:rsidR="00DE72CD" w:rsidRDefault="00DE72CD">
      <w:pPr>
        <w:rPr>
          <w:sz w:val="24"/>
          <w:szCs w:val="24"/>
        </w:rPr>
      </w:pPr>
    </w:p>
    <w:p w:rsidR="00DE72CD" w:rsidRDefault="0031414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Table 2: </w:t>
      </w:r>
      <w:r>
        <w:rPr>
          <w:sz w:val="24"/>
          <w:szCs w:val="24"/>
        </w:rPr>
        <w:t xml:space="preserve">Narrative evaluation of each tool, including helpful information for schools interested in purchasing or further reviewing one of the tools identified. </w:t>
      </w:r>
    </w:p>
    <w:p w:rsidR="00DE72CD" w:rsidRDefault="00DE72CD"/>
    <w:p w:rsidR="00DE72CD" w:rsidRDefault="00DE72CD"/>
    <w:p w:rsidR="00DE72CD" w:rsidRDefault="00DE72CD"/>
    <w:tbl>
      <w:tblPr>
        <w:tblStyle w:val="a"/>
        <w:tblW w:w="1440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888"/>
        <w:gridCol w:w="1175"/>
        <w:gridCol w:w="1162"/>
        <w:gridCol w:w="1175"/>
      </w:tblGrid>
      <w:tr w:rsidR="00DE72CD">
        <w:trPr>
          <w:trHeight w:val="500"/>
        </w:trPr>
        <w:tc>
          <w:tcPr>
            <w:tcW w:w="10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highlight w:val="white"/>
              </w:rPr>
            </w:pPr>
            <w:r>
              <w:rPr>
                <w:b/>
              </w:rPr>
              <w:lastRenderedPageBreak/>
              <w:t>TABLE 1: RUBRIC REVIEW</w:t>
            </w:r>
          </w:p>
        </w:tc>
        <w:tc>
          <w:tcPr>
            <w:tcW w:w="35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X indicates that the tool met the specified criterion.</w:t>
            </w:r>
          </w:p>
        </w:tc>
      </w:tr>
      <w:tr w:rsidR="00DE72CD">
        <w:trPr>
          <w:trHeight w:val="500"/>
        </w:trPr>
        <w:tc>
          <w:tcPr>
            <w:tcW w:w="10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CRITERIA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GESEL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ESGI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TS GOLD</w:t>
            </w:r>
          </w:p>
        </w:tc>
      </w:tr>
      <w:tr w:rsidR="00DE72CD">
        <w:trPr>
          <w:trHeight w:val="440"/>
        </w:trPr>
        <w:tc>
          <w:tcPr>
            <w:tcW w:w="1439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ELA: </w:t>
            </w:r>
            <w:r>
              <w:rPr>
                <w:i/>
                <w:sz w:val="24"/>
                <w:szCs w:val="24"/>
              </w:rPr>
              <w:t xml:space="preserve">The tool adequately assesses . . .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DE72CD">
        <w:trPr>
          <w:trHeight w:val="500"/>
        </w:trPr>
        <w:tc>
          <w:tcPr>
            <w:tcW w:w="10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Ability to follow 2-step directions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X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X</w:t>
            </w:r>
          </w:p>
        </w:tc>
      </w:tr>
      <w:tr w:rsidR="00DE72CD">
        <w:trPr>
          <w:trHeight w:val="500"/>
        </w:trPr>
        <w:tc>
          <w:tcPr>
            <w:tcW w:w="10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Sequencing/ retelling a story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X</w:t>
            </w:r>
          </w:p>
        </w:tc>
      </w:tr>
      <w:tr w:rsidR="00DE72CD">
        <w:trPr>
          <w:trHeight w:val="500"/>
        </w:trPr>
        <w:tc>
          <w:tcPr>
            <w:tcW w:w="10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Rhyming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X</w:t>
            </w:r>
          </w:p>
        </w:tc>
      </w:tr>
      <w:tr w:rsidR="00DE72CD">
        <w:trPr>
          <w:trHeight w:val="500"/>
        </w:trPr>
        <w:tc>
          <w:tcPr>
            <w:tcW w:w="10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Letter recognition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X</w:t>
            </w:r>
          </w:p>
        </w:tc>
      </w:tr>
      <w:tr w:rsidR="00DE72CD">
        <w:trPr>
          <w:trHeight w:val="500"/>
        </w:trPr>
        <w:tc>
          <w:tcPr>
            <w:tcW w:w="10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Letter sounds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X</w:t>
            </w:r>
          </w:p>
        </w:tc>
      </w:tr>
      <w:tr w:rsidR="00DE72CD">
        <w:trPr>
          <w:trHeight w:val="500"/>
        </w:trPr>
        <w:tc>
          <w:tcPr>
            <w:tcW w:w="10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Ability to print own name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X</w:t>
            </w:r>
          </w:p>
        </w:tc>
      </w:tr>
      <w:tr w:rsidR="00DE72CD">
        <w:trPr>
          <w:trHeight w:val="500"/>
        </w:trPr>
        <w:tc>
          <w:tcPr>
            <w:tcW w:w="1439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MATH: </w:t>
            </w:r>
            <w:r>
              <w:rPr>
                <w:i/>
                <w:sz w:val="24"/>
                <w:szCs w:val="24"/>
              </w:rPr>
              <w:t xml:space="preserve">The tool adequately assesses . . . </w:t>
            </w:r>
          </w:p>
        </w:tc>
      </w:tr>
      <w:tr w:rsidR="00DE72CD">
        <w:trPr>
          <w:trHeight w:val="500"/>
        </w:trPr>
        <w:tc>
          <w:tcPr>
            <w:tcW w:w="10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Ability to count to 20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X</w:t>
            </w:r>
          </w:p>
        </w:tc>
      </w:tr>
      <w:tr w:rsidR="00DE72CD">
        <w:trPr>
          <w:trHeight w:val="500"/>
        </w:trPr>
        <w:tc>
          <w:tcPr>
            <w:tcW w:w="10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 correspondence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X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X</w:t>
            </w:r>
          </w:p>
        </w:tc>
      </w:tr>
      <w:tr w:rsidR="00DE72CD">
        <w:trPr>
          <w:trHeight w:val="500"/>
        </w:trPr>
        <w:tc>
          <w:tcPr>
            <w:tcW w:w="10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Patterns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X</w:t>
            </w:r>
          </w:p>
        </w:tc>
      </w:tr>
      <w:tr w:rsidR="00DE72CD">
        <w:trPr>
          <w:trHeight w:val="500"/>
        </w:trPr>
        <w:tc>
          <w:tcPr>
            <w:tcW w:w="10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Sorting by color, shape, size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X</w:t>
            </w:r>
          </w:p>
        </w:tc>
      </w:tr>
      <w:tr w:rsidR="00DE72CD">
        <w:trPr>
          <w:trHeight w:val="500"/>
        </w:trPr>
        <w:tc>
          <w:tcPr>
            <w:tcW w:w="10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Shape identification (4 basic shapes)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X</w:t>
            </w:r>
          </w:p>
        </w:tc>
      </w:tr>
      <w:tr w:rsidR="00DE72CD">
        <w:trPr>
          <w:trHeight w:val="500"/>
        </w:trPr>
        <w:tc>
          <w:tcPr>
            <w:tcW w:w="1439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SOCIO-EMOTIONAL SKILLS: </w:t>
            </w:r>
            <w:r>
              <w:rPr>
                <w:i/>
                <w:sz w:val="24"/>
                <w:szCs w:val="24"/>
              </w:rPr>
              <w:t xml:space="preserve">The tool adequately assesses . . . </w:t>
            </w:r>
          </w:p>
        </w:tc>
      </w:tr>
      <w:tr w:rsidR="00DE72CD">
        <w:trPr>
          <w:trHeight w:val="500"/>
        </w:trPr>
        <w:tc>
          <w:tcPr>
            <w:tcW w:w="10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**Ability to participate in collaborative play with peers</w:t>
            </w:r>
          </w:p>
          <w:p w:rsidR="00DE72CD" w:rsidRDefault="00DE7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X</w:t>
            </w:r>
          </w:p>
        </w:tc>
      </w:tr>
      <w:tr w:rsidR="00DE72CD">
        <w:trPr>
          <w:trHeight w:val="500"/>
        </w:trPr>
        <w:tc>
          <w:tcPr>
            <w:tcW w:w="1439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MOTOR DEVELOPMENT: </w:t>
            </w:r>
            <w:r>
              <w:rPr>
                <w:i/>
                <w:sz w:val="24"/>
                <w:szCs w:val="24"/>
              </w:rPr>
              <w:t xml:space="preserve">The tool adequately assesses . . . </w:t>
            </w:r>
          </w:p>
        </w:tc>
      </w:tr>
      <w:tr w:rsidR="00DE72CD">
        <w:trPr>
          <w:trHeight w:val="500"/>
        </w:trPr>
        <w:tc>
          <w:tcPr>
            <w:tcW w:w="10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Fine motor skills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X</w:t>
            </w:r>
          </w:p>
        </w:tc>
      </w:tr>
      <w:tr w:rsidR="00DE72CD">
        <w:trPr>
          <w:trHeight w:val="500"/>
        </w:trPr>
        <w:tc>
          <w:tcPr>
            <w:tcW w:w="10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Gross motor skills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DE72C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DE72CD">
        <w:trPr>
          <w:trHeight w:val="500"/>
        </w:trPr>
        <w:tc>
          <w:tcPr>
            <w:tcW w:w="1439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TOOL ADMINISTRATION: </w:t>
            </w:r>
          </w:p>
        </w:tc>
      </w:tr>
      <w:tr w:rsidR="00DE72CD">
        <w:trPr>
          <w:trHeight w:val="500"/>
        </w:trPr>
        <w:tc>
          <w:tcPr>
            <w:tcW w:w="10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Administration of the assessment takes 20-40 minutes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E72CD">
        <w:trPr>
          <w:trHeight w:val="500"/>
        </w:trPr>
        <w:tc>
          <w:tcPr>
            <w:tcW w:w="1439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PROFESSIONAL DEVELOPMENT &amp; FEES</w:t>
            </w:r>
          </w:p>
        </w:tc>
      </w:tr>
      <w:tr w:rsidR="00DE72CD">
        <w:trPr>
          <w:trHeight w:val="500"/>
        </w:trPr>
        <w:tc>
          <w:tcPr>
            <w:tcW w:w="10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tool is reasonably priced comparative to the current amount that most schools spend on Kindergarten screening.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E72CD">
        <w:trPr>
          <w:trHeight w:val="500"/>
        </w:trPr>
        <w:tc>
          <w:tcPr>
            <w:tcW w:w="10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There are affordable professional development and support options available for all users.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DE72CD" w:rsidRDefault="00DE72CD"/>
    <w:p w:rsidR="00DE72CD" w:rsidRDefault="0031414A">
      <w:r>
        <w:t xml:space="preserve">** </w:t>
      </w:r>
      <w:r>
        <w:rPr>
          <w:b/>
        </w:rPr>
        <w:t xml:space="preserve">Note: </w:t>
      </w:r>
      <w:r>
        <w:t>We recommend that schools assess collaborative play during a Pre-Kindergarten Visit Day. Schools can organize small group visits to assess students’ ability to interact with their peers and follow group directions.</w:t>
      </w:r>
    </w:p>
    <w:p w:rsidR="00DE72CD" w:rsidRDefault="00DE72CD">
      <w:pPr>
        <w:rPr>
          <w:b/>
        </w:rPr>
      </w:pPr>
    </w:p>
    <w:p w:rsidR="00DE72CD" w:rsidRDefault="00DE72CD">
      <w:pPr>
        <w:rPr>
          <w:b/>
        </w:rPr>
      </w:pPr>
    </w:p>
    <w:p w:rsidR="00DE72CD" w:rsidRDefault="00DE72CD">
      <w:pPr>
        <w:rPr>
          <w:b/>
        </w:rPr>
      </w:pPr>
    </w:p>
    <w:p w:rsidR="00DE72CD" w:rsidRDefault="00DE72CD">
      <w:pPr>
        <w:rPr>
          <w:b/>
        </w:rPr>
      </w:pPr>
    </w:p>
    <w:p w:rsidR="00DE72CD" w:rsidRDefault="00DE72CD">
      <w:pPr>
        <w:rPr>
          <w:b/>
        </w:rPr>
      </w:pPr>
    </w:p>
    <w:p w:rsidR="00DE72CD" w:rsidRDefault="00DE72CD">
      <w:pPr>
        <w:rPr>
          <w:b/>
        </w:rPr>
      </w:pPr>
    </w:p>
    <w:p w:rsidR="00DE72CD" w:rsidRDefault="00DE72CD">
      <w:pPr>
        <w:rPr>
          <w:b/>
        </w:rPr>
      </w:pPr>
    </w:p>
    <w:p w:rsidR="00DE72CD" w:rsidRDefault="00DE72CD">
      <w:pPr>
        <w:rPr>
          <w:color w:val="FF0000"/>
          <w:highlight w:val="yellow"/>
        </w:rPr>
      </w:pPr>
    </w:p>
    <w:tbl>
      <w:tblPr>
        <w:tblStyle w:val="a0"/>
        <w:tblW w:w="144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3240"/>
        <w:gridCol w:w="4770"/>
        <w:gridCol w:w="4680"/>
      </w:tblGrid>
      <w:tr w:rsidR="00DE72CD" w:rsidTr="0031414A">
        <w:trPr>
          <w:trHeight w:val="420"/>
        </w:trPr>
        <w:tc>
          <w:tcPr>
            <w:tcW w:w="495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TABLE 2: NARRATIVE REVIEW</w:t>
            </w:r>
          </w:p>
        </w:tc>
        <w:tc>
          <w:tcPr>
            <w:tcW w:w="945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*Please note that a Kindergarten screening tool has been developed for Archdiocesan schools on the ESGI online platform. Email Kaitlyn O’Leary for more information about accessing this tool at </w:t>
            </w:r>
            <w:hyperlink r:id="rId8">
              <w:r>
                <w:rPr>
                  <w:i/>
                  <w:color w:val="1155CC"/>
                  <w:sz w:val="18"/>
                  <w:szCs w:val="18"/>
                  <w:u w:val="single"/>
                </w:rPr>
                <w:t>kaitlyn.oleary@seattlearch.org</w:t>
              </w:r>
            </w:hyperlink>
            <w:r>
              <w:rPr>
                <w:i/>
                <w:sz w:val="18"/>
                <w:szCs w:val="18"/>
              </w:rPr>
              <w:t xml:space="preserve">. </w:t>
            </w:r>
          </w:p>
        </w:tc>
      </w:tr>
      <w:tr w:rsidR="00DE72CD" w:rsidTr="0031414A">
        <w:tc>
          <w:tcPr>
            <w:tcW w:w="17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DE7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32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GESELL</w:t>
            </w:r>
          </w:p>
          <w:p w:rsidR="00DE72CD" w:rsidRDefault="0031414A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t>Gesell Institute of Development</w:t>
            </w:r>
          </w:p>
        </w:tc>
        <w:tc>
          <w:tcPr>
            <w:tcW w:w="47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ESGI</w:t>
            </w:r>
          </w:p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Educational Software for Guiding Instruction</w:t>
            </w:r>
          </w:p>
        </w:tc>
        <w:tc>
          <w:tcPr>
            <w:tcW w:w="46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Teaching Strategies GOLD</w:t>
            </w:r>
          </w:p>
        </w:tc>
      </w:tr>
      <w:tr w:rsidR="00DE72CD" w:rsidTr="0031414A">
        <w:tc>
          <w:tcPr>
            <w:tcW w:w="17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Strengths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Pr="0031414A" w:rsidRDefault="0031414A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sz w:val="20"/>
                <w:szCs w:val="20"/>
              </w:rPr>
            </w:pPr>
            <w:r w:rsidRPr="0031414A">
              <w:rPr>
                <w:sz w:val="20"/>
                <w:szCs w:val="20"/>
              </w:rPr>
              <w:t xml:space="preserve">GDS (Gesell Developmental Schedule) is a snapshot. </w:t>
            </w:r>
          </w:p>
          <w:p w:rsidR="00DE72CD" w:rsidRPr="0031414A" w:rsidRDefault="0031414A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sz w:val="20"/>
                <w:szCs w:val="20"/>
              </w:rPr>
            </w:pPr>
            <w:r w:rsidRPr="0031414A">
              <w:rPr>
                <w:sz w:val="20"/>
                <w:szCs w:val="20"/>
              </w:rPr>
              <w:t>GDO-R (Gesell Developmental Observation - Revised) determines developmental level (45 minutes).</w:t>
            </w:r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Pr="0031414A" w:rsidRDefault="0031414A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sz w:val="20"/>
                <w:szCs w:val="20"/>
              </w:rPr>
            </w:pPr>
            <w:r w:rsidRPr="0031414A">
              <w:rPr>
                <w:sz w:val="20"/>
                <w:szCs w:val="20"/>
              </w:rPr>
              <w:t xml:space="preserve">Customizable </w:t>
            </w:r>
          </w:p>
          <w:p w:rsidR="00DE72CD" w:rsidRPr="0031414A" w:rsidRDefault="0031414A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sz w:val="20"/>
                <w:szCs w:val="20"/>
              </w:rPr>
            </w:pPr>
            <w:r w:rsidRPr="0031414A">
              <w:rPr>
                <w:sz w:val="20"/>
                <w:szCs w:val="20"/>
              </w:rPr>
              <w:t>Large variety and number of assessments already available</w:t>
            </w:r>
          </w:p>
          <w:p w:rsidR="00DE72CD" w:rsidRPr="0031414A" w:rsidRDefault="0031414A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sz w:val="20"/>
                <w:szCs w:val="20"/>
              </w:rPr>
            </w:pPr>
            <w:r w:rsidRPr="0031414A">
              <w:rPr>
                <w:sz w:val="20"/>
                <w:szCs w:val="20"/>
              </w:rPr>
              <w:t>English, Spanish options</w:t>
            </w:r>
          </w:p>
          <w:p w:rsidR="00DE72CD" w:rsidRPr="0031414A" w:rsidRDefault="0031414A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sz w:val="20"/>
                <w:szCs w:val="20"/>
              </w:rPr>
            </w:pPr>
            <w:r w:rsidRPr="0031414A">
              <w:rPr>
                <w:sz w:val="20"/>
                <w:szCs w:val="20"/>
              </w:rPr>
              <w:t>Communication and Resources to share with parents</w:t>
            </w:r>
            <w:r w:rsidRPr="0031414A">
              <w:rPr>
                <w:sz w:val="20"/>
                <w:szCs w:val="20"/>
              </w:rPr>
              <w:t>-letters, flashcards, practice work to go home</w:t>
            </w:r>
          </w:p>
          <w:p w:rsidR="00DE72CD" w:rsidRPr="0031414A" w:rsidRDefault="0031414A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sz w:val="20"/>
                <w:szCs w:val="20"/>
              </w:rPr>
            </w:pPr>
            <w:r w:rsidRPr="0031414A">
              <w:rPr>
                <w:sz w:val="20"/>
                <w:szCs w:val="20"/>
              </w:rPr>
              <w:t>Information can be graphed</w:t>
            </w:r>
          </w:p>
          <w:p w:rsidR="00DE72CD" w:rsidRPr="0031414A" w:rsidRDefault="0031414A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sz w:val="20"/>
                <w:szCs w:val="20"/>
              </w:rPr>
            </w:pPr>
            <w:r w:rsidRPr="0031414A">
              <w:rPr>
                <w:sz w:val="20"/>
                <w:szCs w:val="20"/>
              </w:rPr>
              <w:t>Reports support sorting into learning groups</w:t>
            </w:r>
          </w:p>
          <w:p w:rsidR="00DE72CD" w:rsidRPr="0031414A" w:rsidRDefault="0031414A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sz w:val="20"/>
                <w:szCs w:val="20"/>
              </w:rPr>
            </w:pPr>
            <w:r w:rsidRPr="0031414A">
              <w:rPr>
                <w:sz w:val="20"/>
                <w:szCs w:val="20"/>
              </w:rPr>
              <w:t>Provides data to implement classroom</w:t>
            </w:r>
            <w:r w:rsidRPr="0031414A">
              <w:rPr>
                <w:sz w:val="20"/>
                <w:szCs w:val="20"/>
              </w:rPr>
              <w:t xml:space="preserve"> learning</w:t>
            </w:r>
          </w:p>
          <w:p w:rsidR="00DE72CD" w:rsidRPr="0031414A" w:rsidRDefault="0031414A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sz w:val="20"/>
                <w:szCs w:val="20"/>
              </w:rPr>
            </w:pPr>
            <w:r w:rsidRPr="0031414A">
              <w:rPr>
                <w:sz w:val="20"/>
                <w:szCs w:val="20"/>
              </w:rPr>
              <w:t>Can be used for tracking of any standard</w:t>
            </w:r>
            <w:r w:rsidRPr="0031414A">
              <w:rPr>
                <w:sz w:val="20"/>
                <w:szCs w:val="20"/>
              </w:rPr>
              <w:t xml:space="preserve"> </w:t>
            </w:r>
          </w:p>
          <w:p w:rsidR="00DE72CD" w:rsidRPr="0031414A" w:rsidRDefault="0031414A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sz w:val="20"/>
                <w:szCs w:val="20"/>
              </w:rPr>
            </w:pPr>
            <w:r w:rsidRPr="0031414A">
              <w:rPr>
                <w:sz w:val="20"/>
                <w:szCs w:val="20"/>
              </w:rPr>
              <w:t>Reports provide specific information for conferences in a self-explanatory</w:t>
            </w:r>
            <w:r w:rsidRPr="0031414A">
              <w:rPr>
                <w:sz w:val="20"/>
                <w:szCs w:val="20"/>
              </w:rPr>
              <w:t xml:space="preserve"> format</w:t>
            </w:r>
          </w:p>
          <w:p w:rsidR="00DE72CD" w:rsidRPr="0031414A" w:rsidRDefault="00DE7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Pr="0031414A" w:rsidRDefault="0031414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color w:val="222222"/>
                <w:sz w:val="20"/>
                <w:szCs w:val="20"/>
              </w:rPr>
            </w:pPr>
            <w:r w:rsidRPr="0031414A">
              <w:rPr>
                <w:color w:val="222222"/>
                <w:sz w:val="20"/>
                <w:szCs w:val="20"/>
              </w:rPr>
              <w:t>Parent communication and recommendations</w:t>
            </w:r>
          </w:p>
          <w:p w:rsidR="00DE72CD" w:rsidRPr="0031414A" w:rsidRDefault="0031414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color w:val="222222"/>
                <w:sz w:val="20"/>
                <w:szCs w:val="20"/>
              </w:rPr>
            </w:pPr>
            <w:r w:rsidRPr="0031414A">
              <w:rPr>
                <w:color w:val="222222"/>
                <w:sz w:val="20"/>
                <w:szCs w:val="20"/>
              </w:rPr>
              <w:t>Provides reports</w:t>
            </w:r>
          </w:p>
          <w:p w:rsidR="00DE72CD" w:rsidRPr="0031414A" w:rsidRDefault="0031414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color w:val="222222"/>
                <w:sz w:val="20"/>
                <w:szCs w:val="20"/>
              </w:rPr>
            </w:pPr>
            <w:r w:rsidRPr="0031414A">
              <w:rPr>
                <w:color w:val="222222"/>
                <w:sz w:val="20"/>
                <w:szCs w:val="20"/>
              </w:rPr>
              <w:t>Planner available to give specific lessons to support the students with strategies to develop a skill</w:t>
            </w:r>
          </w:p>
          <w:p w:rsidR="00DE72CD" w:rsidRPr="0031414A" w:rsidRDefault="0031414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color w:val="222222"/>
                <w:sz w:val="20"/>
                <w:szCs w:val="20"/>
              </w:rPr>
            </w:pPr>
            <w:r w:rsidRPr="0031414A">
              <w:rPr>
                <w:color w:val="222222"/>
                <w:sz w:val="20"/>
                <w:szCs w:val="20"/>
              </w:rPr>
              <w:t>Aligned to WA state Kindergarten screening tool (WAKids)</w:t>
            </w:r>
          </w:p>
          <w:p w:rsidR="00DE72CD" w:rsidRPr="0031414A" w:rsidRDefault="0031414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color w:val="222222"/>
                <w:sz w:val="20"/>
                <w:szCs w:val="20"/>
              </w:rPr>
            </w:pPr>
            <w:r w:rsidRPr="0031414A">
              <w:rPr>
                <w:color w:val="222222"/>
                <w:sz w:val="20"/>
                <w:szCs w:val="20"/>
              </w:rPr>
              <w:t>Developmental tool - Helpful to track student development overtime/years</w:t>
            </w:r>
          </w:p>
        </w:tc>
      </w:tr>
      <w:tr w:rsidR="00DE72CD" w:rsidTr="0031414A">
        <w:tc>
          <w:tcPr>
            <w:tcW w:w="17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Limitations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Pr="0031414A" w:rsidRDefault="0031414A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sz w:val="20"/>
                <w:szCs w:val="20"/>
              </w:rPr>
            </w:pPr>
            <w:r w:rsidRPr="0031414A">
              <w:rPr>
                <w:sz w:val="20"/>
                <w:szCs w:val="20"/>
              </w:rPr>
              <w:t>Not comprehensive</w:t>
            </w:r>
          </w:p>
          <w:p w:rsidR="00DE72CD" w:rsidRPr="0031414A" w:rsidRDefault="0031414A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sz w:val="20"/>
                <w:szCs w:val="20"/>
              </w:rPr>
            </w:pPr>
            <w:r w:rsidRPr="0031414A">
              <w:rPr>
                <w:sz w:val="20"/>
                <w:szCs w:val="20"/>
              </w:rPr>
              <w:t xml:space="preserve">Expensive </w:t>
            </w:r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Pr="0031414A" w:rsidRDefault="0031414A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sz w:val="20"/>
                <w:szCs w:val="20"/>
              </w:rPr>
            </w:pPr>
            <w:r w:rsidRPr="0031414A">
              <w:rPr>
                <w:sz w:val="20"/>
                <w:szCs w:val="20"/>
              </w:rPr>
              <w:t>Yearly subscription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Pr="0031414A" w:rsidRDefault="0031414A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sz w:val="20"/>
                <w:szCs w:val="20"/>
              </w:rPr>
            </w:pPr>
            <w:r w:rsidRPr="0031414A">
              <w:rPr>
                <w:sz w:val="20"/>
                <w:szCs w:val="20"/>
              </w:rPr>
              <w:t>Time consuming - evidence based observation, so you have to monitor growth over a period of time</w:t>
            </w:r>
          </w:p>
          <w:p w:rsidR="00DE72CD" w:rsidRPr="0031414A" w:rsidRDefault="0031414A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sz w:val="20"/>
                <w:szCs w:val="20"/>
              </w:rPr>
            </w:pPr>
            <w:r w:rsidRPr="0031414A">
              <w:rPr>
                <w:sz w:val="20"/>
                <w:szCs w:val="20"/>
              </w:rPr>
              <w:t>More about developmental milestones than academic achievement</w:t>
            </w:r>
          </w:p>
        </w:tc>
      </w:tr>
      <w:tr w:rsidR="00DE72CD" w:rsidTr="0031414A">
        <w:tc>
          <w:tcPr>
            <w:tcW w:w="17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Professional Development 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Pr="0031414A" w:rsidRDefault="0031414A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sz w:val="20"/>
                <w:szCs w:val="20"/>
              </w:rPr>
            </w:pPr>
            <w:r w:rsidRPr="0031414A">
              <w:rPr>
                <w:sz w:val="20"/>
                <w:szCs w:val="20"/>
              </w:rPr>
              <w:t>Requires ongoing training, which leads to additional costs.</w:t>
            </w:r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Pr="0031414A" w:rsidRDefault="0031414A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sz w:val="20"/>
                <w:szCs w:val="20"/>
              </w:rPr>
            </w:pPr>
            <w:r w:rsidRPr="0031414A">
              <w:rPr>
                <w:sz w:val="20"/>
                <w:szCs w:val="20"/>
              </w:rPr>
              <w:t>Online training included and ongoing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Pr="0031414A" w:rsidRDefault="0031414A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sz w:val="20"/>
                <w:szCs w:val="20"/>
              </w:rPr>
            </w:pPr>
            <w:r w:rsidRPr="0031414A">
              <w:rPr>
                <w:sz w:val="20"/>
                <w:szCs w:val="20"/>
              </w:rPr>
              <w:t>Requires training. Interrater Reliability Certification needed.</w:t>
            </w:r>
          </w:p>
        </w:tc>
      </w:tr>
      <w:tr w:rsidR="00DE72CD" w:rsidTr="0031414A">
        <w:tc>
          <w:tcPr>
            <w:tcW w:w="17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Cost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Pr="0031414A" w:rsidRDefault="0031414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sz w:val="20"/>
                <w:szCs w:val="20"/>
              </w:rPr>
            </w:pPr>
            <w:r w:rsidRPr="0031414A">
              <w:rPr>
                <w:sz w:val="20"/>
                <w:szCs w:val="20"/>
              </w:rPr>
              <w:t>GDS - $258 per kit</w:t>
            </w:r>
          </w:p>
          <w:p w:rsidR="00DE72CD" w:rsidRPr="0031414A" w:rsidRDefault="0031414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sz w:val="20"/>
                <w:szCs w:val="20"/>
              </w:rPr>
            </w:pPr>
            <w:r w:rsidRPr="0031414A">
              <w:rPr>
                <w:sz w:val="20"/>
                <w:szCs w:val="20"/>
              </w:rPr>
              <w:t>GDO-R - $299 a kit, $65 per year for the recording sheet, $550 per person to be trained in GDO-R</w:t>
            </w:r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Pr="0031414A" w:rsidRDefault="0031414A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color w:val="222222"/>
                <w:sz w:val="20"/>
                <w:szCs w:val="20"/>
                <w:highlight w:val="white"/>
              </w:rPr>
            </w:pPr>
            <w:r w:rsidRPr="0031414A">
              <w:rPr>
                <w:color w:val="222222"/>
                <w:sz w:val="20"/>
                <w:szCs w:val="20"/>
                <w:highlight w:val="white"/>
              </w:rPr>
              <w:t xml:space="preserve">Subscription $199 per teacher per year per 35 students (number of students is negotiable within reason) </w:t>
            </w:r>
          </w:p>
          <w:p w:rsidR="00DE72CD" w:rsidRPr="0031414A" w:rsidRDefault="0031414A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color w:val="222222"/>
                <w:sz w:val="20"/>
                <w:szCs w:val="20"/>
                <w:highlight w:val="white"/>
              </w:rPr>
            </w:pPr>
            <w:r w:rsidRPr="0031414A">
              <w:rPr>
                <w:color w:val="222222"/>
                <w:sz w:val="20"/>
                <w:szCs w:val="20"/>
                <w:highlight w:val="white"/>
              </w:rPr>
              <w:t>Free administrator account</w:t>
            </w:r>
          </w:p>
          <w:p w:rsidR="00DE72CD" w:rsidRPr="0031414A" w:rsidRDefault="0031414A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color w:val="222222"/>
                <w:sz w:val="20"/>
                <w:szCs w:val="20"/>
                <w:highlight w:val="white"/>
              </w:rPr>
            </w:pPr>
            <w:r w:rsidRPr="0031414A">
              <w:rPr>
                <w:color w:val="222222"/>
                <w:sz w:val="20"/>
                <w:szCs w:val="20"/>
                <w:highlight w:val="white"/>
              </w:rPr>
              <w:t xml:space="preserve">District account is available </w:t>
            </w:r>
          </w:p>
          <w:p w:rsidR="00DE72CD" w:rsidRPr="0031414A" w:rsidRDefault="00DE7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Pr="0031414A" w:rsidRDefault="0031414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sz w:val="20"/>
                <w:szCs w:val="20"/>
              </w:rPr>
            </w:pPr>
            <w:r w:rsidRPr="0031414A">
              <w:rPr>
                <w:sz w:val="20"/>
                <w:szCs w:val="20"/>
              </w:rPr>
              <w:t xml:space="preserve">In person training $3500 a day for 30 teachers, $450 </w:t>
            </w:r>
            <w:proofErr w:type="spellStart"/>
            <w:r w:rsidRPr="0031414A">
              <w:rPr>
                <w:sz w:val="20"/>
                <w:szCs w:val="20"/>
              </w:rPr>
              <w:t>start up</w:t>
            </w:r>
            <w:proofErr w:type="spellEnd"/>
            <w:r w:rsidRPr="0031414A">
              <w:rPr>
                <w:sz w:val="20"/>
                <w:szCs w:val="20"/>
              </w:rPr>
              <w:t xml:space="preserve"> fee, $22 per kid. (May be possible to obtain WAKids rate of no fee and $9.95 per student)</w:t>
            </w:r>
          </w:p>
        </w:tc>
      </w:tr>
      <w:tr w:rsidR="00DE72CD" w:rsidTr="0031414A">
        <w:tc>
          <w:tcPr>
            <w:tcW w:w="17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Sales Contact</w:t>
            </w:r>
          </w:p>
        </w:tc>
        <w:tc>
          <w:tcPr>
            <w:tcW w:w="324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Pr="0031414A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31414A">
              <w:rPr>
                <w:sz w:val="20"/>
                <w:szCs w:val="20"/>
              </w:rPr>
              <w:t>Erin Akers</w:t>
            </w:r>
          </w:p>
          <w:p w:rsidR="00DE72CD" w:rsidRPr="0031414A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hyperlink r:id="rId9">
              <w:r w:rsidRPr="0031414A">
                <w:rPr>
                  <w:color w:val="1155CC"/>
                  <w:sz w:val="20"/>
                  <w:szCs w:val="20"/>
                  <w:u w:val="single"/>
                </w:rPr>
                <w:t>erin@gesellinstitute.org</w:t>
              </w:r>
            </w:hyperlink>
            <w:r w:rsidRPr="003141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7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Pr="0031414A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31414A">
              <w:rPr>
                <w:sz w:val="20"/>
                <w:szCs w:val="20"/>
              </w:rPr>
              <w:t xml:space="preserve">Rochelle </w:t>
            </w:r>
            <w:proofErr w:type="spellStart"/>
            <w:r w:rsidRPr="0031414A">
              <w:rPr>
                <w:sz w:val="20"/>
                <w:szCs w:val="20"/>
              </w:rPr>
              <w:t>Pokorny</w:t>
            </w:r>
            <w:proofErr w:type="spellEnd"/>
          </w:p>
          <w:p w:rsidR="00DE72CD" w:rsidRPr="0031414A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hyperlink r:id="rId10">
              <w:r w:rsidRPr="0031414A">
                <w:rPr>
                  <w:color w:val="1155CC"/>
                  <w:sz w:val="20"/>
                  <w:szCs w:val="20"/>
                  <w:u w:val="single"/>
                </w:rPr>
                <w:t>rochelle@esgisoftware.com</w:t>
              </w:r>
            </w:hyperlink>
            <w:r w:rsidRPr="003141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72CD" w:rsidRPr="0031414A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155CC"/>
                <w:sz w:val="20"/>
                <w:szCs w:val="20"/>
              </w:rPr>
            </w:pPr>
            <w:r w:rsidRPr="0031414A">
              <w:rPr>
                <w:sz w:val="20"/>
                <w:szCs w:val="20"/>
              </w:rPr>
              <w:t xml:space="preserve">Rob </w:t>
            </w:r>
            <w:proofErr w:type="spellStart"/>
            <w:r w:rsidRPr="0031414A">
              <w:rPr>
                <w:sz w:val="20"/>
                <w:szCs w:val="20"/>
              </w:rPr>
              <w:t>Lauron</w:t>
            </w:r>
            <w:proofErr w:type="spellEnd"/>
            <w:r w:rsidRPr="0031414A">
              <w:rPr>
                <w:color w:val="1155CC"/>
                <w:sz w:val="20"/>
                <w:szCs w:val="20"/>
              </w:rPr>
              <w:t xml:space="preserve"> </w:t>
            </w:r>
          </w:p>
          <w:p w:rsidR="00DE72CD" w:rsidRPr="0031414A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155CC"/>
                <w:sz w:val="20"/>
                <w:szCs w:val="20"/>
              </w:rPr>
            </w:pPr>
            <w:hyperlink r:id="rId11">
              <w:r w:rsidRPr="0031414A">
                <w:rPr>
                  <w:color w:val="1155CC"/>
                  <w:sz w:val="20"/>
                  <w:szCs w:val="20"/>
                  <w:u w:val="single"/>
                </w:rPr>
                <w:t>Rob.L@teachingstrategies.com</w:t>
              </w:r>
            </w:hyperlink>
            <w:r w:rsidRPr="0031414A">
              <w:rPr>
                <w:color w:val="1155CC"/>
                <w:sz w:val="20"/>
                <w:szCs w:val="20"/>
              </w:rPr>
              <w:t xml:space="preserve"> </w:t>
            </w:r>
          </w:p>
          <w:p w:rsidR="00DE72CD" w:rsidRPr="0031414A" w:rsidRDefault="00314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31414A">
              <w:rPr>
                <w:sz w:val="20"/>
                <w:szCs w:val="20"/>
              </w:rPr>
              <w:t>310-912-0534</w:t>
            </w:r>
          </w:p>
        </w:tc>
      </w:tr>
    </w:tbl>
    <w:p w:rsidR="00DE72CD" w:rsidRDefault="00DE72CD">
      <w:bookmarkStart w:id="0" w:name="_GoBack"/>
      <w:bookmarkEnd w:id="0"/>
    </w:p>
    <w:sectPr w:rsidR="00DE72CD">
      <w:headerReference w:type="default" r:id="rId12"/>
      <w:pgSz w:w="15840" w:h="122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1414A">
      <w:pPr>
        <w:spacing w:line="240" w:lineRule="auto"/>
      </w:pPr>
      <w:r>
        <w:separator/>
      </w:r>
    </w:p>
  </w:endnote>
  <w:endnote w:type="continuationSeparator" w:id="0">
    <w:p w:rsidR="00000000" w:rsidRDefault="00314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1414A">
      <w:pPr>
        <w:spacing w:line="240" w:lineRule="auto"/>
      </w:pPr>
      <w:r>
        <w:separator/>
      </w:r>
    </w:p>
  </w:footnote>
  <w:footnote w:type="continuationSeparator" w:id="0">
    <w:p w:rsidR="00000000" w:rsidRDefault="003141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2CD" w:rsidRDefault="00DE72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20FB0"/>
    <w:multiLevelType w:val="multilevel"/>
    <w:tmpl w:val="1E3EAD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D03C5C"/>
    <w:multiLevelType w:val="multilevel"/>
    <w:tmpl w:val="BE567F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E3B79F0"/>
    <w:multiLevelType w:val="multilevel"/>
    <w:tmpl w:val="6060CD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2567F68"/>
    <w:multiLevelType w:val="multilevel"/>
    <w:tmpl w:val="35542D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5936B96"/>
    <w:multiLevelType w:val="multilevel"/>
    <w:tmpl w:val="2DAED3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75A02E4"/>
    <w:multiLevelType w:val="multilevel"/>
    <w:tmpl w:val="37D0A0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CEF74DC"/>
    <w:multiLevelType w:val="multilevel"/>
    <w:tmpl w:val="D5D28D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C5661DA"/>
    <w:multiLevelType w:val="multilevel"/>
    <w:tmpl w:val="7DD25C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F734E8B"/>
    <w:multiLevelType w:val="multilevel"/>
    <w:tmpl w:val="F09086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8DF52E3"/>
    <w:multiLevelType w:val="multilevel"/>
    <w:tmpl w:val="3A2C2F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D8E7837"/>
    <w:multiLevelType w:val="multilevel"/>
    <w:tmpl w:val="71E256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5"/>
  </w:num>
  <w:num w:numId="5">
    <w:abstractNumId w:val="9"/>
  </w:num>
  <w:num w:numId="6">
    <w:abstractNumId w:val="0"/>
  </w:num>
  <w:num w:numId="7">
    <w:abstractNumId w:val="3"/>
  </w:num>
  <w:num w:numId="8">
    <w:abstractNumId w:val="2"/>
  </w:num>
  <w:num w:numId="9">
    <w:abstractNumId w:val="6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CD"/>
    <w:rsid w:val="0031414A"/>
    <w:rsid w:val="00D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ACF8D"/>
  <w15:docId w15:val="{D08B5595-5212-4AF3-A0C1-96D4FEF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tlyn.oleary@seattlearch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ob.L@teachingstrategies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ochelle@esgisoftwar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rin@gesellinstitute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877</Words>
  <Characters>5001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Seattle</Company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O'Leary Kaitlyn</dc:creator>
  <cp:lastModifiedBy>O'Leary Kaitlyn</cp:lastModifiedBy>
  <cp:revision>2</cp:revision>
  <dcterms:created xsi:type="dcterms:W3CDTF">2018-07-24T23:41:00Z</dcterms:created>
  <dcterms:modified xsi:type="dcterms:W3CDTF">2018-07-24T23:41:00Z</dcterms:modified>
</cp:coreProperties>
</file>