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01" w:rsidRPr="002F3A01" w:rsidRDefault="002F3A01" w:rsidP="002F3A01">
      <w:pPr>
        <w:rPr>
          <w:b/>
          <w:sz w:val="24"/>
          <w:szCs w:val="24"/>
        </w:rPr>
      </w:pPr>
      <w:r w:rsidRPr="002F3A01">
        <w:rPr>
          <w:b/>
          <w:sz w:val="24"/>
          <w:szCs w:val="24"/>
        </w:rPr>
        <w:t>GRACE PLC Activity</w:t>
      </w:r>
      <w:r w:rsidR="00712D2A">
        <w:rPr>
          <w:b/>
          <w:sz w:val="24"/>
          <w:szCs w:val="24"/>
        </w:rPr>
        <w:t xml:space="preserve"> Design Template</w:t>
      </w:r>
      <w:r w:rsidR="00712D2A">
        <w:rPr>
          <w:b/>
          <w:sz w:val="24"/>
          <w:szCs w:val="24"/>
        </w:rPr>
        <w:tab/>
      </w:r>
      <w:r w:rsidR="00712D2A">
        <w:rPr>
          <w:b/>
          <w:sz w:val="24"/>
          <w:szCs w:val="24"/>
        </w:rPr>
        <w:tab/>
      </w:r>
      <w:r w:rsidR="00712D2A">
        <w:rPr>
          <w:b/>
          <w:sz w:val="24"/>
          <w:szCs w:val="24"/>
        </w:rPr>
        <w:tab/>
      </w:r>
      <w:r w:rsidRPr="002F3A01">
        <w:rPr>
          <w:b/>
          <w:sz w:val="24"/>
          <w:szCs w:val="24"/>
        </w:rPr>
        <w:t>Post MAP Fall Testing Exercise</w:t>
      </w:r>
      <w:r w:rsidR="00712D2A">
        <w:rPr>
          <w:b/>
          <w:sz w:val="24"/>
          <w:szCs w:val="24"/>
        </w:rPr>
        <w:t>: Data Wall Protocol</w:t>
      </w:r>
      <w:r w:rsidRPr="002F3A01">
        <w:rPr>
          <w:b/>
          <w:sz w:val="24"/>
          <w:szCs w:val="24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45"/>
        <w:gridCol w:w="9450"/>
      </w:tblGrid>
      <w:tr w:rsidR="002F3A01" w:rsidRPr="002F3A01" w:rsidTr="00712D2A">
        <w:tc>
          <w:tcPr>
            <w:tcW w:w="1345" w:type="dxa"/>
          </w:tcPr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Title</w:t>
            </w:r>
          </w:p>
        </w:tc>
        <w:tc>
          <w:tcPr>
            <w:tcW w:w="9450" w:type="dxa"/>
          </w:tcPr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Post MAP Fall Testing Exercise</w:t>
            </w:r>
            <w:r w:rsidR="00712D2A">
              <w:rPr>
                <w:sz w:val="24"/>
                <w:szCs w:val="24"/>
              </w:rPr>
              <w:t>: Data Wall Protocol</w:t>
            </w:r>
          </w:p>
        </w:tc>
      </w:tr>
      <w:tr w:rsidR="002F3A01" w:rsidRPr="002F3A01" w:rsidTr="00712D2A">
        <w:tc>
          <w:tcPr>
            <w:tcW w:w="1345" w:type="dxa"/>
          </w:tcPr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Purpose</w:t>
            </w:r>
          </w:p>
        </w:tc>
        <w:tc>
          <w:tcPr>
            <w:tcW w:w="9450" w:type="dxa"/>
          </w:tcPr>
          <w:p w:rsidR="002F3A01" w:rsidRPr="002F3A01" w:rsidRDefault="002F3A01" w:rsidP="00712D2A">
            <w:pPr>
              <w:rPr>
                <w:sz w:val="24"/>
                <w:szCs w:val="24"/>
              </w:rPr>
            </w:pPr>
            <w:r w:rsidRPr="002F3A01">
              <w:rPr>
                <w:b/>
                <w:sz w:val="24"/>
                <w:szCs w:val="24"/>
              </w:rPr>
              <w:t>The purpose of this activity is</w:t>
            </w:r>
            <w:r w:rsidRPr="002F3A01">
              <w:rPr>
                <w:sz w:val="24"/>
                <w:szCs w:val="24"/>
              </w:rPr>
              <w:t xml:space="preserve"> </w:t>
            </w:r>
            <w:r w:rsidRPr="002F3A01">
              <w:rPr>
                <w:b/>
                <w:sz w:val="24"/>
                <w:szCs w:val="24"/>
                <w:u w:val="single"/>
              </w:rPr>
              <w:t>to</w:t>
            </w:r>
            <w:r w:rsidRPr="002F3A01">
              <w:rPr>
                <w:sz w:val="24"/>
                <w:szCs w:val="24"/>
              </w:rPr>
              <w:t xml:space="preserve"> analyze student performance on the Fall MAP test</w:t>
            </w:r>
            <w:r w:rsidR="00712D2A">
              <w:rPr>
                <w:sz w:val="24"/>
                <w:szCs w:val="24"/>
              </w:rPr>
              <w:t xml:space="preserve"> in a specific subject area (Math, Reading, Language Usage, or Science)</w:t>
            </w:r>
            <w:r w:rsidRPr="002F3A01">
              <w:rPr>
                <w:sz w:val="24"/>
                <w:szCs w:val="24"/>
              </w:rPr>
              <w:t xml:space="preserve"> </w:t>
            </w:r>
            <w:r w:rsidRPr="002F3A01">
              <w:rPr>
                <w:b/>
                <w:sz w:val="24"/>
                <w:szCs w:val="24"/>
                <w:u w:val="single"/>
              </w:rPr>
              <w:t>in a way that</w:t>
            </w:r>
            <w:r w:rsidRPr="002F3A01">
              <w:rPr>
                <w:sz w:val="24"/>
                <w:szCs w:val="24"/>
              </w:rPr>
              <w:t xml:space="preserve"> allows us to </w:t>
            </w:r>
            <w:r w:rsidR="00712D2A">
              <w:rPr>
                <w:sz w:val="24"/>
                <w:szCs w:val="24"/>
              </w:rPr>
              <w:t>understand students’ current RIT range</w:t>
            </w:r>
            <w:r w:rsidRPr="002F3A01">
              <w:rPr>
                <w:sz w:val="24"/>
                <w:szCs w:val="24"/>
              </w:rPr>
              <w:t xml:space="preserve"> </w:t>
            </w:r>
            <w:r w:rsidRPr="002F3A01">
              <w:rPr>
                <w:b/>
                <w:sz w:val="24"/>
                <w:szCs w:val="24"/>
                <w:u w:val="single"/>
              </w:rPr>
              <w:t>so that</w:t>
            </w:r>
            <w:r w:rsidRPr="002F3A01">
              <w:rPr>
                <w:sz w:val="24"/>
                <w:szCs w:val="24"/>
              </w:rPr>
              <w:t xml:space="preserve"> we can </w:t>
            </w:r>
            <w:r w:rsidR="00712D2A">
              <w:rPr>
                <w:sz w:val="24"/>
                <w:szCs w:val="24"/>
              </w:rPr>
              <w:t xml:space="preserve">monitor student progress and observe trends that span grade levels. </w:t>
            </w:r>
            <w:r w:rsidRPr="002F3A01">
              <w:rPr>
                <w:sz w:val="24"/>
                <w:szCs w:val="24"/>
              </w:rPr>
              <w:t xml:space="preserve">  </w:t>
            </w:r>
          </w:p>
        </w:tc>
      </w:tr>
      <w:tr w:rsidR="002F3A01" w:rsidRPr="002F3A01" w:rsidTr="00712D2A">
        <w:tc>
          <w:tcPr>
            <w:tcW w:w="1345" w:type="dxa"/>
          </w:tcPr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Time</w:t>
            </w:r>
          </w:p>
        </w:tc>
        <w:tc>
          <w:tcPr>
            <w:tcW w:w="9450" w:type="dxa"/>
          </w:tcPr>
          <w:p w:rsidR="002F3A01" w:rsidRPr="002F3A01" w:rsidRDefault="00D94F46" w:rsidP="009E0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90-100 </w:t>
            </w:r>
            <w:r w:rsidR="002F3A01" w:rsidRPr="002F3A01">
              <w:rPr>
                <w:sz w:val="24"/>
                <w:szCs w:val="24"/>
              </w:rPr>
              <w:t xml:space="preserve">minutes </w:t>
            </w:r>
          </w:p>
        </w:tc>
      </w:tr>
      <w:tr w:rsidR="002F3A01" w:rsidRPr="002F3A01" w:rsidTr="00712D2A">
        <w:tc>
          <w:tcPr>
            <w:tcW w:w="1345" w:type="dxa"/>
          </w:tcPr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Materials/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Resources Needed</w:t>
            </w:r>
          </w:p>
        </w:tc>
        <w:tc>
          <w:tcPr>
            <w:tcW w:w="9450" w:type="dxa"/>
          </w:tcPr>
          <w:p w:rsidR="00712D2A" w:rsidRPr="002F3A01" w:rsidRDefault="00712D2A" w:rsidP="00712D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Resources for the Facilitator Only: </w:t>
            </w:r>
            <w:r w:rsidRPr="00712D2A">
              <w:rPr>
                <w:sz w:val="24"/>
                <w:szCs w:val="24"/>
              </w:rPr>
              <w:t>Data Wall Markers</w:t>
            </w:r>
            <w:r>
              <w:rPr>
                <w:sz w:val="24"/>
                <w:szCs w:val="24"/>
              </w:rPr>
              <w:t xml:space="preserve"> (to set up the data wall template in advance), Facilitator’s Guide to the H</w:t>
            </w:r>
            <w:r w:rsidR="00026629">
              <w:rPr>
                <w:sz w:val="24"/>
                <w:szCs w:val="24"/>
              </w:rPr>
              <w:t>ere’s What! So What? Now What? P</w:t>
            </w:r>
            <w:bookmarkStart w:id="0" w:name="_GoBack"/>
            <w:bookmarkEnd w:id="0"/>
            <w:r>
              <w:rPr>
                <w:sz w:val="24"/>
                <w:szCs w:val="24"/>
              </w:rPr>
              <w:t>rotocol</w:t>
            </w:r>
            <w:r w:rsidR="00026629">
              <w:rPr>
                <w:sz w:val="24"/>
                <w:szCs w:val="24"/>
              </w:rPr>
              <w:t xml:space="preserve"> (recommended: review in advance)</w:t>
            </w:r>
          </w:p>
          <w:p w:rsidR="00712D2A" w:rsidRDefault="00712D2A" w:rsidP="009E006A">
            <w:pPr>
              <w:rPr>
                <w:b/>
                <w:sz w:val="24"/>
                <w:szCs w:val="24"/>
              </w:rPr>
            </w:pPr>
          </w:p>
          <w:p w:rsidR="00712D2A" w:rsidRPr="002F3A01" w:rsidRDefault="00712D2A" w:rsidP="009E0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Resources for All Participants: </w:t>
            </w:r>
          </w:p>
          <w:p w:rsidR="002F3A01" w:rsidRPr="002F3A01" w:rsidRDefault="00026629" w:rsidP="00712D2A">
            <w:pPr>
              <w:rPr>
                <w:sz w:val="24"/>
                <w:szCs w:val="24"/>
              </w:rPr>
            </w:pPr>
            <w:hyperlink r:id="rId5" w:history="1">
              <w:r w:rsidR="002F3A01" w:rsidRPr="002F3A01">
                <w:rPr>
                  <w:rStyle w:val="Hyperlink"/>
                  <w:sz w:val="24"/>
                  <w:szCs w:val="24"/>
                </w:rPr>
                <w:t>Data Wall Video</w:t>
              </w:r>
            </w:hyperlink>
            <w:r w:rsidR="002F3A01" w:rsidRPr="002F3A01">
              <w:rPr>
                <w:sz w:val="24"/>
                <w:szCs w:val="24"/>
              </w:rPr>
              <w:t xml:space="preserve">, MAP </w:t>
            </w:r>
            <w:r w:rsidR="00712D2A">
              <w:rPr>
                <w:sz w:val="24"/>
                <w:szCs w:val="24"/>
              </w:rPr>
              <w:t>Achievement Status and Growth Projection Reports for each grade level in a specific subject area (Math, Reading, Language Usage, or Science)</w:t>
            </w:r>
            <w:r w:rsidR="002F3A01" w:rsidRPr="002F3A01">
              <w:rPr>
                <w:sz w:val="24"/>
                <w:szCs w:val="24"/>
              </w:rPr>
              <w:t xml:space="preserve">, </w:t>
            </w:r>
            <w:r w:rsidR="002F3A01" w:rsidRPr="002F3A01">
              <w:rPr>
                <w:i/>
                <w:sz w:val="24"/>
                <w:szCs w:val="24"/>
              </w:rPr>
              <w:t>Post MAP Testing Data Wall Protocol, Here’s What! So What? Now What?</w:t>
            </w:r>
            <w:r w:rsidR="00712D2A">
              <w:rPr>
                <w:sz w:val="24"/>
                <w:szCs w:val="24"/>
              </w:rPr>
              <w:t xml:space="preserve"> organizer</w:t>
            </w:r>
            <w:r w:rsidR="002F3A01" w:rsidRPr="002F3A01">
              <w:rPr>
                <w:sz w:val="24"/>
                <w:szCs w:val="24"/>
              </w:rPr>
              <w:t xml:space="preserve">, </w:t>
            </w:r>
            <w:r w:rsidR="002F3A01" w:rsidRPr="002F3A01">
              <w:rPr>
                <w:i/>
                <w:sz w:val="24"/>
                <w:szCs w:val="24"/>
              </w:rPr>
              <w:t>2015 NWEA MAP Normative Data</w:t>
            </w:r>
            <w:r w:rsidR="002F3A01" w:rsidRPr="002F3A01">
              <w:rPr>
                <w:sz w:val="24"/>
                <w:szCs w:val="24"/>
              </w:rPr>
              <w:t>, tape, markers</w:t>
            </w:r>
            <w:r w:rsidR="00712D2A">
              <w:rPr>
                <w:sz w:val="24"/>
                <w:szCs w:val="24"/>
              </w:rPr>
              <w:t xml:space="preserve"> or sticky dots in red, orange, yellow, green, and blue</w:t>
            </w:r>
            <w:r w:rsidR="002F3A01" w:rsidRPr="002F3A01">
              <w:rPr>
                <w:sz w:val="24"/>
                <w:szCs w:val="24"/>
              </w:rPr>
              <w:t xml:space="preserve">, printed and cut </w:t>
            </w:r>
            <w:r w:rsidR="002F3A01" w:rsidRPr="002F3A01">
              <w:rPr>
                <w:i/>
                <w:sz w:val="24"/>
                <w:szCs w:val="24"/>
              </w:rPr>
              <w:t>Data Card Templates</w:t>
            </w:r>
            <w:r w:rsidR="002F3A01" w:rsidRPr="002F3A01">
              <w:rPr>
                <w:sz w:val="24"/>
                <w:szCs w:val="24"/>
              </w:rPr>
              <w:t xml:space="preserve"> (optional- teachers may also write directly on index cards)</w:t>
            </w:r>
          </w:p>
        </w:tc>
      </w:tr>
      <w:tr w:rsidR="002F3A01" w:rsidRPr="002F3A01" w:rsidTr="00712D2A">
        <w:tc>
          <w:tcPr>
            <w:tcW w:w="1345" w:type="dxa"/>
          </w:tcPr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Process</w:t>
            </w:r>
          </w:p>
        </w:tc>
        <w:tc>
          <w:tcPr>
            <w:tcW w:w="9450" w:type="dxa"/>
          </w:tcPr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In advance of this activity: </w:t>
            </w:r>
          </w:p>
          <w:p w:rsidR="002F3A01" w:rsidRPr="002F3A01" w:rsidRDefault="002F3A01" w:rsidP="009E006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Teachers have watched this video on data walls: </w:t>
            </w:r>
            <w:hyperlink r:id="rId6" w:history="1">
              <w:r w:rsidRPr="002F3A01">
                <w:rPr>
                  <w:rStyle w:val="Hyperlink"/>
                  <w:sz w:val="24"/>
                  <w:szCs w:val="24"/>
                </w:rPr>
                <w:t>https://www.teachingchannel.org/videos/differentiated-instruction-with-data-walls</w:t>
              </w:r>
            </w:hyperlink>
            <w:r w:rsidRPr="002F3A01">
              <w:rPr>
                <w:sz w:val="24"/>
                <w:szCs w:val="24"/>
              </w:rPr>
              <w:t xml:space="preserve">  </w:t>
            </w:r>
          </w:p>
          <w:p w:rsidR="002F3A01" w:rsidRPr="002F3A01" w:rsidRDefault="002F3A01" w:rsidP="009E006A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Teachers have been instructed to bring the </w:t>
            </w:r>
            <w:r w:rsidR="00712D2A" w:rsidRPr="00712D2A">
              <w:rPr>
                <w:b/>
                <w:sz w:val="24"/>
                <w:szCs w:val="24"/>
              </w:rPr>
              <w:t>Achievement Status and Growth Projection Reports</w:t>
            </w:r>
            <w:r w:rsidR="00712D2A">
              <w:rPr>
                <w:sz w:val="24"/>
                <w:szCs w:val="24"/>
              </w:rPr>
              <w:t xml:space="preserve"> for the relevant grade level(s), testing window, and subject area. </w:t>
            </w:r>
            <w:r w:rsidRPr="002F3A01">
              <w:rPr>
                <w:sz w:val="24"/>
                <w:szCs w:val="24"/>
              </w:rPr>
              <w:t xml:space="preserve">The STL and principal have identified one focus subject for the data wall (Math, Reading, Language Usage, or Science). The focus subject identified directly relates to the school learning goal(s). </w:t>
            </w:r>
            <w:r w:rsidRPr="002F3A01">
              <w:rPr>
                <w:i/>
                <w:sz w:val="24"/>
                <w:szCs w:val="24"/>
              </w:rPr>
              <w:t xml:space="preserve">Note: If a teacher is a specialist who does not teach the subject selected, he/she may collaborate with grade level colleagues or create a data </w:t>
            </w:r>
            <w:r w:rsidR="00712D2A">
              <w:rPr>
                <w:i/>
                <w:sz w:val="24"/>
                <w:szCs w:val="24"/>
              </w:rPr>
              <w:t>wall for his/her subject area. You may wish to instruct t</w:t>
            </w:r>
            <w:r w:rsidRPr="002F3A01">
              <w:rPr>
                <w:i/>
                <w:sz w:val="24"/>
                <w:szCs w:val="24"/>
              </w:rPr>
              <w:t>eachers of grades th</w:t>
            </w:r>
            <w:r w:rsidR="00712D2A">
              <w:rPr>
                <w:i/>
                <w:sz w:val="24"/>
                <w:szCs w:val="24"/>
              </w:rPr>
              <w:t>at do not complete MAP testing to</w:t>
            </w:r>
            <w:r w:rsidRPr="002F3A01">
              <w:rPr>
                <w:i/>
                <w:sz w:val="24"/>
                <w:szCs w:val="24"/>
              </w:rPr>
              <w:t xml:space="preserve"> bring an alternate source of data (</w:t>
            </w:r>
            <w:proofErr w:type="spellStart"/>
            <w:r w:rsidRPr="002F3A01">
              <w:rPr>
                <w:i/>
                <w:sz w:val="24"/>
                <w:szCs w:val="24"/>
              </w:rPr>
              <w:t>Dibbells</w:t>
            </w:r>
            <w:proofErr w:type="spellEnd"/>
            <w:r w:rsidRPr="002F3A01">
              <w:rPr>
                <w:i/>
                <w:sz w:val="24"/>
                <w:szCs w:val="24"/>
              </w:rPr>
              <w:t xml:space="preserve">, High Scope, Teaching Strategies Gold, High Scope, </w:t>
            </w:r>
            <w:proofErr w:type="spellStart"/>
            <w:r w:rsidRPr="002F3A01">
              <w:rPr>
                <w:i/>
                <w:sz w:val="24"/>
                <w:szCs w:val="24"/>
              </w:rPr>
              <w:t>Fountas</w:t>
            </w:r>
            <w:proofErr w:type="spellEnd"/>
            <w:r w:rsidRPr="002F3A01">
              <w:rPr>
                <w:i/>
                <w:sz w:val="24"/>
                <w:szCs w:val="24"/>
              </w:rPr>
              <w:t xml:space="preserve"> &amp; </w:t>
            </w:r>
            <w:proofErr w:type="spellStart"/>
            <w:r w:rsidRPr="002F3A01">
              <w:rPr>
                <w:i/>
                <w:sz w:val="24"/>
                <w:szCs w:val="24"/>
              </w:rPr>
              <w:t>Pinnell</w:t>
            </w:r>
            <w:proofErr w:type="spellEnd"/>
            <w:r w:rsidRPr="002F3A01">
              <w:rPr>
                <w:i/>
                <w:sz w:val="24"/>
                <w:szCs w:val="24"/>
              </w:rPr>
              <w:t xml:space="preserve">, STAR, etc.)   </w:t>
            </w:r>
          </w:p>
          <w:p w:rsidR="002F3A01" w:rsidRPr="002F3A01" w:rsidRDefault="002F3A01" w:rsidP="009E006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The STL has created a blank data wall in a place secure from the eyes of parents and students. This can be an electronic wall or a physical wall. </w:t>
            </w:r>
          </w:p>
          <w:p w:rsidR="002F3A01" w:rsidRPr="002F3A01" w:rsidRDefault="002F3A01" w:rsidP="009E006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The STL has completed the </w:t>
            </w:r>
            <w:r w:rsidRPr="002F3A01">
              <w:rPr>
                <w:i/>
                <w:sz w:val="24"/>
                <w:szCs w:val="24"/>
              </w:rPr>
              <w:t>Post MAP Testing Data Wall Protocol</w:t>
            </w:r>
            <w:r w:rsidRPr="002F3A01">
              <w:rPr>
                <w:sz w:val="24"/>
                <w:szCs w:val="24"/>
              </w:rPr>
              <w:t xml:space="preserve"> for a sample grade. 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</w:p>
          <w:p w:rsidR="002F3A01" w:rsidRPr="002F3A01" w:rsidRDefault="002F3A01" w:rsidP="009E006A">
            <w:pPr>
              <w:rPr>
                <w:b/>
                <w:sz w:val="24"/>
                <w:szCs w:val="24"/>
              </w:rPr>
            </w:pPr>
            <w:r w:rsidRPr="002F3A01">
              <w:rPr>
                <w:b/>
                <w:sz w:val="24"/>
                <w:szCs w:val="24"/>
              </w:rPr>
              <w:t xml:space="preserve">NOTE: If you choose to create an electronic data wall, adjust the instructions below accordingly.  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1.  (5 minutes) STL or Principal introduces the activity by setting the purpose and explaining that:</w:t>
            </w:r>
          </w:p>
          <w:p w:rsidR="002F3A01" w:rsidRPr="002F3A01" w:rsidRDefault="002F3A01" w:rsidP="009E006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The data wall is not created to impress or shame other teachers</w:t>
            </w:r>
          </w:p>
          <w:p w:rsidR="002F3A01" w:rsidRPr="002F3A01" w:rsidRDefault="002F3A01" w:rsidP="009E006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The data wall is a vehicle to share information with colleagues and collaborate and share best practices</w:t>
            </w:r>
          </w:p>
          <w:p w:rsidR="002F3A01" w:rsidRPr="002F3A01" w:rsidRDefault="002F3A01" w:rsidP="009E006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The data wall is a means of ensuring that all students learn and grow and is a way of holding ourselves accountable 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2. (5 minutes) STL leads a brief conversation about the data wall video that teachers watched in advance of the meeting. What about the video excited you? What questions do you have?  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3. (10 minutes) STL reviews and explains the </w:t>
            </w:r>
            <w:r w:rsidRPr="002F3A01">
              <w:rPr>
                <w:i/>
                <w:sz w:val="24"/>
                <w:szCs w:val="24"/>
              </w:rPr>
              <w:t>Post MAP Testing Data Wall Protocol</w:t>
            </w:r>
            <w:r w:rsidRPr="002F3A01">
              <w:rPr>
                <w:sz w:val="24"/>
                <w:szCs w:val="24"/>
              </w:rPr>
              <w:t xml:space="preserve">, walking colleagues through each step of the protocol and using examples from a sample class. STL is sure to reference the </w:t>
            </w:r>
            <w:r w:rsidR="00712D2A" w:rsidRPr="00712D2A">
              <w:rPr>
                <w:b/>
                <w:sz w:val="24"/>
                <w:szCs w:val="24"/>
              </w:rPr>
              <w:t>Achievement Status and Growth Projection Report</w:t>
            </w:r>
            <w:r w:rsidR="00712D2A">
              <w:rPr>
                <w:b/>
                <w:sz w:val="24"/>
                <w:szCs w:val="24"/>
              </w:rPr>
              <w:t xml:space="preserve"> </w:t>
            </w:r>
            <w:r w:rsidRPr="002F3A01">
              <w:rPr>
                <w:sz w:val="24"/>
                <w:szCs w:val="24"/>
              </w:rPr>
              <w:t xml:space="preserve">and show examples </w:t>
            </w:r>
            <w:r w:rsidRPr="002F3A01">
              <w:rPr>
                <w:sz w:val="24"/>
                <w:szCs w:val="24"/>
              </w:rPr>
              <w:lastRenderedPageBreak/>
              <w:t xml:space="preserve">of student data cards. STL shows colleagues the data wall and models where to place each student data card.  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4. (</w:t>
            </w:r>
            <w:r w:rsidR="00D94F46">
              <w:rPr>
                <w:sz w:val="24"/>
                <w:szCs w:val="24"/>
              </w:rPr>
              <w:t>20-</w:t>
            </w:r>
            <w:r w:rsidRPr="002F3A01">
              <w:rPr>
                <w:sz w:val="24"/>
                <w:szCs w:val="24"/>
              </w:rPr>
              <w:t>30</w:t>
            </w:r>
            <w:r w:rsidR="00712D2A">
              <w:rPr>
                <w:sz w:val="24"/>
                <w:szCs w:val="24"/>
              </w:rPr>
              <w:t xml:space="preserve"> </w:t>
            </w:r>
            <w:r w:rsidRPr="002F3A01">
              <w:rPr>
                <w:sz w:val="24"/>
                <w:szCs w:val="24"/>
              </w:rPr>
              <w:t xml:space="preserve">minutes) Grade level teams follow the </w:t>
            </w:r>
            <w:r w:rsidRPr="002F3A01">
              <w:rPr>
                <w:i/>
                <w:sz w:val="24"/>
                <w:szCs w:val="24"/>
              </w:rPr>
              <w:t>Post MAP Testing Data Wall Protocol</w:t>
            </w:r>
            <w:r w:rsidRPr="002F3A01">
              <w:rPr>
                <w:sz w:val="24"/>
                <w:szCs w:val="24"/>
              </w:rPr>
              <w:t xml:space="preserve"> to review the data for their grade, create student data cards, and place student data cards in the corresponding progre</w:t>
            </w:r>
            <w:r w:rsidR="00712D2A">
              <w:rPr>
                <w:sz w:val="24"/>
                <w:szCs w:val="24"/>
              </w:rPr>
              <w:t xml:space="preserve">ss indicators on the data wall. It is important that teachers place the data cards in the row that corresponds to the appropriate grade level. 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5. (5 minutes) STL introduces the </w:t>
            </w:r>
            <w:r w:rsidRPr="002F3A01">
              <w:rPr>
                <w:i/>
                <w:sz w:val="24"/>
                <w:szCs w:val="24"/>
              </w:rPr>
              <w:t>Here’s What</w:t>
            </w:r>
            <w:proofErr w:type="gramStart"/>
            <w:r w:rsidRPr="002F3A01">
              <w:rPr>
                <w:i/>
                <w:sz w:val="24"/>
                <w:szCs w:val="24"/>
              </w:rPr>
              <w:t>!,</w:t>
            </w:r>
            <w:proofErr w:type="gramEnd"/>
            <w:r w:rsidRPr="002F3A01">
              <w:rPr>
                <w:i/>
                <w:sz w:val="24"/>
                <w:szCs w:val="24"/>
              </w:rPr>
              <w:t xml:space="preserve"> So What?, Now What?</w:t>
            </w:r>
            <w:r w:rsidRPr="002F3A01">
              <w:rPr>
                <w:sz w:val="24"/>
                <w:szCs w:val="24"/>
              </w:rPr>
              <w:t xml:space="preserve"> Protocol and models a think-aloud using the sample class data prepared in advance of the meeting. STL shares 1-2 observations about the sample class data (Here’s What!), and answers the questions So What? </w:t>
            </w:r>
            <w:proofErr w:type="gramStart"/>
            <w:r w:rsidRPr="002F3A01">
              <w:rPr>
                <w:sz w:val="24"/>
                <w:szCs w:val="24"/>
              </w:rPr>
              <w:t>and</w:t>
            </w:r>
            <w:proofErr w:type="gramEnd"/>
            <w:r w:rsidRPr="002F3A01">
              <w:rPr>
                <w:sz w:val="24"/>
                <w:szCs w:val="24"/>
              </w:rPr>
              <w:t xml:space="preserve"> Now What? </w:t>
            </w:r>
            <w:proofErr w:type="gramStart"/>
            <w:r w:rsidRPr="002F3A01">
              <w:rPr>
                <w:sz w:val="24"/>
                <w:szCs w:val="24"/>
              </w:rPr>
              <w:t>about</w:t>
            </w:r>
            <w:proofErr w:type="gramEnd"/>
            <w:r w:rsidRPr="002F3A01">
              <w:rPr>
                <w:sz w:val="24"/>
                <w:szCs w:val="24"/>
              </w:rPr>
              <w:t xml:space="preserve"> the sample class. 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6. (</w:t>
            </w:r>
            <w:r w:rsidR="00D94F46">
              <w:rPr>
                <w:sz w:val="24"/>
                <w:szCs w:val="24"/>
              </w:rPr>
              <w:t>5</w:t>
            </w:r>
            <w:r w:rsidRPr="002F3A01">
              <w:rPr>
                <w:sz w:val="24"/>
                <w:szCs w:val="24"/>
              </w:rPr>
              <w:t xml:space="preserve"> minutes) </w:t>
            </w:r>
            <w:r w:rsidR="00716D35">
              <w:rPr>
                <w:sz w:val="24"/>
                <w:szCs w:val="24"/>
              </w:rPr>
              <w:t xml:space="preserve">STL divides the group into pairs or trios by grade level or grade band. Pairs or trios </w:t>
            </w:r>
            <w:r w:rsidRPr="002F3A01">
              <w:rPr>
                <w:sz w:val="24"/>
                <w:szCs w:val="24"/>
              </w:rPr>
              <w:t xml:space="preserve">make at least two observations in the Here’s What! Column.  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7. (</w:t>
            </w:r>
            <w:r w:rsidR="00716D35">
              <w:rPr>
                <w:sz w:val="24"/>
                <w:szCs w:val="24"/>
              </w:rPr>
              <w:t>5</w:t>
            </w:r>
            <w:r w:rsidRPr="002F3A01">
              <w:rPr>
                <w:sz w:val="24"/>
                <w:szCs w:val="24"/>
              </w:rPr>
              <w:t xml:space="preserve"> minutes) STL facilitates a conversation: </w:t>
            </w:r>
            <w:r w:rsidR="00716D35">
              <w:rPr>
                <w:sz w:val="24"/>
                <w:szCs w:val="24"/>
              </w:rPr>
              <w:t>Pairs/trios</w:t>
            </w:r>
            <w:r w:rsidRPr="002F3A01">
              <w:rPr>
                <w:sz w:val="24"/>
                <w:szCs w:val="24"/>
              </w:rPr>
              <w:t xml:space="preserve"> share their Here’s What! </w:t>
            </w:r>
            <w:proofErr w:type="gramStart"/>
            <w:r w:rsidRPr="002F3A01">
              <w:rPr>
                <w:sz w:val="24"/>
                <w:szCs w:val="24"/>
              </w:rPr>
              <w:t>observations</w:t>
            </w:r>
            <w:proofErr w:type="gramEnd"/>
            <w:r w:rsidRPr="002F3A01">
              <w:rPr>
                <w:sz w:val="24"/>
                <w:szCs w:val="24"/>
              </w:rPr>
              <w:t xml:space="preserve">. 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8. (10 minutes) </w:t>
            </w:r>
            <w:r w:rsidR="00716D35">
              <w:rPr>
                <w:sz w:val="24"/>
                <w:szCs w:val="24"/>
              </w:rPr>
              <w:t>Pairs/trios</w:t>
            </w:r>
            <w:r w:rsidRPr="002F3A01">
              <w:rPr>
                <w:sz w:val="24"/>
                <w:szCs w:val="24"/>
              </w:rPr>
              <w:t xml:space="preserve"> complete the So What? </w:t>
            </w:r>
            <w:proofErr w:type="gramStart"/>
            <w:r w:rsidRPr="002F3A01">
              <w:rPr>
                <w:sz w:val="24"/>
                <w:szCs w:val="24"/>
              </w:rPr>
              <w:t>and</w:t>
            </w:r>
            <w:proofErr w:type="gramEnd"/>
            <w:r w:rsidRPr="002F3A01">
              <w:rPr>
                <w:sz w:val="24"/>
                <w:szCs w:val="24"/>
              </w:rPr>
              <w:t xml:space="preserve"> Now What? </w:t>
            </w:r>
            <w:proofErr w:type="gramStart"/>
            <w:r w:rsidRPr="002F3A01">
              <w:rPr>
                <w:sz w:val="24"/>
                <w:szCs w:val="24"/>
              </w:rPr>
              <w:t>columns</w:t>
            </w:r>
            <w:proofErr w:type="gramEnd"/>
            <w:r w:rsidRPr="002F3A01">
              <w:rPr>
                <w:sz w:val="24"/>
                <w:szCs w:val="24"/>
              </w:rPr>
              <w:t xml:space="preserve"> of the protocol graphic organizer. </w:t>
            </w:r>
          </w:p>
          <w:p w:rsidR="00716D35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9. (15 minutes) STL facilitates a whole-staff conversation about the So What? </w:t>
            </w:r>
            <w:proofErr w:type="gramStart"/>
            <w:r w:rsidRPr="002F3A01">
              <w:rPr>
                <w:sz w:val="24"/>
                <w:szCs w:val="24"/>
              </w:rPr>
              <w:t>and</w:t>
            </w:r>
            <w:proofErr w:type="gramEnd"/>
            <w:r w:rsidRPr="002F3A01">
              <w:rPr>
                <w:sz w:val="24"/>
                <w:szCs w:val="24"/>
              </w:rPr>
              <w:t xml:space="preserve"> Now</w:t>
            </w:r>
            <w:r w:rsidR="00716D35">
              <w:rPr>
                <w:sz w:val="24"/>
                <w:szCs w:val="24"/>
              </w:rPr>
              <w:t xml:space="preserve"> What? </w:t>
            </w:r>
            <w:proofErr w:type="gramStart"/>
            <w:r w:rsidR="00716D35">
              <w:rPr>
                <w:sz w:val="24"/>
                <w:szCs w:val="24"/>
              </w:rPr>
              <w:t>columns</w:t>
            </w:r>
            <w:proofErr w:type="gramEnd"/>
            <w:r w:rsidR="00716D35">
              <w:rPr>
                <w:sz w:val="24"/>
                <w:szCs w:val="24"/>
              </w:rPr>
              <w:t xml:space="preserve"> of the protocol. 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10. (10 minutes) The staff determines 1-2 action steps (Now What?) to complete in the next 2-3 weeks. Action steps can be for the entire staff, or can be grade-level/ grade-band specific. 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</w:p>
          <w:p w:rsidR="002F3A01" w:rsidRPr="002F3A01" w:rsidRDefault="002F3A01" w:rsidP="00716D35">
            <w:pPr>
              <w:rPr>
                <w:b/>
                <w:sz w:val="24"/>
                <w:szCs w:val="24"/>
              </w:rPr>
            </w:pPr>
            <w:r w:rsidRPr="002F3A01">
              <w:rPr>
                <w:b/>
                <w:sz w:val="24"/>
                <w:szCs w:val="24"/>
              </w:rPr>
              <w:t xml:space="preserve">Follow Up: </w:t>
            </w:r>
            <w:r w:rsidRPr="002F3A01">
              <w:rPr>
                <w:i/>
                <w:sz w:val="24"/>
                <w:szCs w:val="24"/>
              </w:rPr>
              <w:t xml:space="preserve">This exercise should be repeated at the close of each NWEA testing window. After it has been completed once, you can shorten the activity by asking teachers to update their </w:t>
            </w:r>
            <w:r w:rsidR="00716D35">
              <w:rPr>
                <w:i/>
                <w:sz w:val="24"/>
                <w:szCs w:val="24"/>
              </w:rPr>
              <w:t>data cards</w:t>
            </w:r>
            <w:r w:rsidRPr="002F3A01">
              <w:rPr>
                <w:i/>
                <w:sz w:val="24"/>
                <w:szCs w:val="24"/>
              </w:rPr>
              <w:t xml:space="preserve"> in advance of each meeting. </w:t>
            </w:r>
          </w:p>
        </w:tc>
      </w:tr>
      <w:tr w:rsidR="002F3A01" w:rsidRPr="002F3A01" w:rsidTr="00712D2A">
        <w:trPr>
          <w:trHeight w:val="1440"/>
        </w:trPr>
        <w:tc>
          <w:tcPr>
            <w:tcW w:w="1345" w:type="dxa"/>
          </w:tcPr>
          <w:p w:rsidR="002F3A01" w:rsidRPr="002F3A01" w:rsidRDefault="002F3A01" w:rsidP="009E006A">
            <w:pPr>
              <w:pStyle w:val="NoSpacing"/>
              <w:rPr>
                <w:rStyle w:val="Emphasis"/>
                <w:sz w:val="24"/>
                <w:szCs w:val="24"/>
              </w:rPr>
            </w:pPr>
            <w:r w:rsidRPr="002F3A01">
              <w:rPr>
                <w:rStyle w:val="Emphasis"/>
                <w:sz w:val="24"/>
                <w:szCs w:val="24"/>
              </w:rPr>
              <w:lastRenderedPageBreak/>
              <w:t>Strategies to Engage Adult Learners</w:t>
            </w:r>
          </w:p>
        </w:tc>
        <w:tc>
          <w:tcPr>
            <w:tcW w:w="9450" w:type="dxa"/>
          </w:tcPr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 xml:space="preserve">See </w:t>
            </w:r>
            <w:r w:rsidRPr="002F3A01">
              <w:rPr>
                <w:i/>
                <w:sz w:val="24"/>
                <w:szCs w:val="24"/>
              </w:rPr>
              <w:t>Facilitating Adult Learning</w:t>
            </w:r>
            <w:r w:rsidRPr="002F3A01">
              <w:rPr>
                <w:sz w:val="24"/>
                <w:szCs w:val="24"/>
              </w:rPr>
              <w:t xml:space="preserve"> document</w:t>
            </w:r>
          </w:p>
          <w:p w:rsidR="002F3A01" w:rsidRPr="002F3A01" w:rsidRDefault="002F3A01" w:rsidP="009E006A">
            <w:pPr>
              <w:rPr>
                <w:sz w:val="24"/>
                <w:szCs w:val="24"/>
              </w:rPr>
            </w:pPr>
          </w:p>
        </w:tc>
      </w:tr>
      <w:tr w:rsidR="002F3A01" w:rsidRPr="002F3A01" w:rsidTr="00712D2A">
        <w:trPr>
          <w:trHeight w:val="530"/>
        </w:trPr>
        <w:tc>
          <w:tcPr>
            <w:tcW w:w="1345" w:type="dxa"/>
          </w:tcPr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Reflection</w:t>
            </w:r>
          </w:p>
        </w:tc>
        <w:tc>
          <w:tcPr>
            <w:tcW w:w="9450" w:type="dxa"/>
          </w:tcPr>
          <w:p w:rsidR="002F3A01" w:rsidRPr="002F3A01" w:rsidRDefault="002F3A01" w:rsidP="009E006A">
            <w:pPr>
              <w:rPr>
                <w:sz w:val="24"/>
                <w:szCs w:val="24"/>
              </w:rPr>
            </w:pPr>
            <w:r w:rsidRPr="002F3A01">
              <w:rPr>
                <w:sz w:val="24"/>
                <w:szCs w:val="24"/>
              </w:rPr>
              <w:t>If I were going to do this activity again I would…</w:t>
            </w:r>
          </w:p>
        </w:tc>
      </w:tr>
    </w:tbl>
    <w:p w:rsidR="00F72E2C" w:rsidRPr="002F3A01" w:rsidRDefault="00F72E2C" w:rsidP="002F3A01"/>
    <w:sectPr w:rsidR="00F72E2C" w:rsidRPr="002F3A01" w:rsidSect="001808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02C37"/>
    <w:multiLevelType w:val="hybridMultilevel"/>
    <w:tmpl w:val="C8CE3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70848"/>
    <w:multiLevelType w:val="hybridMultilevel"/>
    <w:tmpl w:val="B06E1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2C42DC"/>
    <w:multiLevelType w:val="hybridMultilevel"/>
    <w:tmpl w:val="62FA9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01"/>
    <w:rsid w:val="00026629"/>
    <w:rsid w:val="00180801"/>
    <w:rsid w:val="002F3A01"/>
    <w:rsid w:val="00712D2A"/>
    <w:rsid w:val="00716D35"/>
    <w:rsid w:val="00D94F46"/>
    <w:rsid w:val="00F7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F642A-CB54-42C3-B0E9-D41034D9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8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80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8080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80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chingchannel.org/videos/differentiated-instruction-with-data-walls" TargetMode="External"/><Relationship Id="rId5" Type="http://schemas.openxmlformats.org/officeDocument/2006/relationships/hyperlink" Target="https://www.teachingchannel.org/videos/differentiated-instruction-with-data-wal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O'Leary Kaitlyn</cp:lastModifiedBy>
  <cp:revision>5</cp:revision>
  <dcterms:created xsi:type="dcterms:W3CDTF">2017-08-24T21:25:00Z</dcterms:created>
  <dcterms:modified xsi:type="dcterms:W3CDTF">2017-10-05T19:18:00Z</dcterms:modified>
</cp:coreProperties>
</file>