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F3" w:rsidRDefault="00733952">
      <w:pPr>
        <w:pStyle w:val="normal0"/>
        <w:jc w:val="center"/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>
            <wp:extent cx="2066925" cy="103346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33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41F3" w:rsidRDefault="00733952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 Studies Materials Review </w:t>
      </w:r>
    </w:p>
    <w:p w:rsidR="009741F3" w:rsidRDefault="009741F3">
      <w:pPr>
        <w:pStyle w:val="normal0"/>
        <w:rPr>
          <w:sz w:val="24"/>
          <w:szCs w:val="24"/>
        </w:rPr>
      </w:pPr>
    </w:p>
    <w:p w:rsidR="009741F3" w:rsidRDefault="00733952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Materials Review Process: </w:t>
      </w:r>
      <w:r>
        <w:rPr>
          <w:sz w:val="24"/>
          <w:szCs w:val="24"/>
        </w:rPr>
        <w:t>The Social Studies curriculum committee identified essential criteria that should be present in high-quality Social Studies instructional materials. We created a rubric that outlined these criteria in addition to other considerations such as cost and avail</w:t>
      </w:r>
      <w:r>
        <w:rPr>
          <w:sz w:val="24"/>
          <w:szCs w:val="24"/>
        </w:rPr>
        <w:t>able professional development. We reviewed a variety of curriculum providers using these criteria and identified five publishers to review more thoroughly. The tables below outline the committee’s findings after formal informational presentations from each</w:t>
      </w:r>
      <w:r>
        <w:rPr>
          <w:sz w:val="24"/>
          <w:szCs w:val="24"/>
        </w:rPr>
        <w:t xml:space="preserve"> of the companies listed below. </w:t>
      </w:r>
    </w:p>
    <w:p w:rsidR="009741F3" w:rsidRDefault="009741F3">
      <w:pPr>
        <w:pStyle w:val="normal0"/>
        <w:rPr>
          <w:b/>
          <w:sz w:val="24"/>
          <w:szCs w:val="24"/>
        </w:rPr>
      </w:pPr>
    </w:p>
    <w:p w:rsidR="009741F3" w:rsidRDefault="00733952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Recommendations for How to Use this Document: </w:t>
      </w:r>
      <w:r>
        <w:rPr>
          <w:sz w:val="24"/>
          <w:szCs w:val="24"/>
        </w:rPr>
        <w:t>Each school has different needs, resources, and challenges. We recommend that schools interested in purchasing new Social Studies instructional materials review the table below</w:t>
      </w:r>
      <w:r>
        <w:rPr>
          <w:sz w:val="24"/>
          <w:szCs w:val="24"/>
        </w:rPr>
        <w:t xml:space="preserve"> to understand the different features offered by each product. Schools may wish to request a product demo to gain further insights into each product. After reviewing the information below, schools should choose the product that will best meet the needs and</w:t>
      </w:r>
      <w:r>
        <w:rPr>
          <w:sz w:val="24"/>
          <w:szCs w:val="24"/>
        </w:rPr>
        <w:t xml:space="preserve"> goals of their unique programs. Schools may also choose to use the </w:t>
      </w:r>
      <w:hyperlink r:id="rId8">
        <w:r>
          <w:rPr>
            <w:color w:val="1155CC"/>
            <w:sz w:val="24"/>
            <w:szCs w:val="24"/>
            <w:u w:val="single"/>
          </w:rPr>
          <w:t>committee rubric</w:t>
        </w:r>
      </w:hyperlink>
      <w:r>
        <w:rPr>
          <w:sz w:val="24"/>
          <w:szCs w:val="24"/>
        </w:rPr>
        <w:t xml:space="preserve"> to conduct their own assessment of materials review</w:t>
      </w:r>
      <w:r>
        <w:rPr>
          <w:sz w:val="24"/>
          <w:szCs w:val="24"/>
        </w:rPr>
        <w:t xml:space="preserve">ed.  </w:t>
      </w:r>
    </w:p>
    <w:p w:rsidR="009741F3" w:rsidRDefault="009741F3">
      <w:pPr>
        <w:pStyle w:val="normal0"/>
      </w:pPr>
    </w:p>
    <w:p w:rsidR="009741F3" w:rsidRDefault="009741F3">
      <w:pPr>
        <w:pStyle w:val="normal0"/>
        <w:rPr>
          <w:b/>
        </w:rPr>
      </w:pPr>
    </w:p>
    <w:p w:rsidR="009741F3" w:rsidRDefault="009741F3">
      <w:pPr>
        <w:pStyle w:val="normal0"/>
        <w:rPr>
          <w:b/>
        </w:rPr>
      </w:pPr>
    </w:p>
    <w:p w:rsidR="009741F3" w:rsidRDefault="009741F3">
      <w:pPr>
        <w:pStyle w:val="normal0"/>
        <w:rPr>
          <w:b/>
        </w:rPr>
      </w:pPr>
    </w:p>
    <w:p w:rsidR="009741F3" w:rsidRDefault="009741F3">
      <w:pPr>
        <w:pStyle w:val="normal0"/>
        <w:rPr>
          <w:b/>
        </w:rPr>
      </w:pPr>
    </w:p>
    <w:p w:rsidR="009741F3" w:rsidRDefault="009741F3">
      <w:pPr>
        <w:pStyle w:val="normal0"/>
        <w:rPr>
          <w:b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p w:rsidR="009741F3" w:rsidRDefault="009741F3">
      <w:pPr>
        <w:pStyle w:val="normal0"/>
        <w:rPr>
          <w:color w:val="FF0000"/>
          <w:highlight w:val="yellow"/>
        </w:rPr>
      </w:pPr>
    </w:p>
    <w:tbl>
      <w:tblPr>
        <w:tblStyle w:val="a"/>
        <w:tblW w:w="14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96"/>
        <w:gridCol w:w="2397"/>
        <w:gridCol w:w="2397"/>
        <w:gridCol w:w="2396"/>
        <w:gridCol w:w="2397"/>
        <w:gridCol w:w="2397"/>
      </w:tblGrid>
      <w:tr w:rsidR="009741F3">
        <w:trPr>
          <w:trHeight w:val="420"/>
        </w:trPr>
        <w:tc>
          <w:tcPr>
            <w:tcW w:w="14380" w:type="dxa"/>
            <w:gridSpan w:val="6"/>
            <w:shd w:val="clear" w:color="auto" w:fill="D9D9D9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REVIEW OF SOCIAL STUDIES MATERIALS 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STORYPATH</w:t>
            </w:r>
          </w:p>
        </w:tc>
        <w:tc>
          <w:tcPr>
            <w:tcW w:w="239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TCI</w:t>
            </w:r>
          </w:p>
        </w:tc>
        <w:tc>
          <w:tcPr>
            <w:tcW w:w="2396" w:type="dxa"/>
            <w:shd w:val="clear" w:color="auto" w:fill="D9D9D9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PEARSON</w:t>
            </w:r>
          </w:p>
        </w:tc>
        <w:tc>
          <w:tcPr>
            <w:tcW w:w="2397" w:type="dxa"/>
            <w:shd w:val="clear" w:color="auto" w:fill="D9D9D9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MCGRAW HILL</w:t>
            </w:r>
          </w:p>
        </w:tc>
        <w:tc>
          <w:tcPr>
            <w:tcW w:w="239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HOUGHTON MIFFLIN HARCOURT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Grade Levels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PK- 8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K-8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K-8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K-8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PK-8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Material Type(s) (Print, digital, textbooks, magazines, etc.)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and E-book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and digital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Spanish student and teacher editions &amp; Leveled Libraries available K-5 </w:t>
            </w:r>
          </w:p>
          <w:p w:rsidR="009741F3" w:rsidRDefault="00733952">
            <w:pPr>
              <w:pStyle w:val="normal0"/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student editions will be available for Middle School November, 2019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Print and digital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highlight w:val="white"/>
              </w:rPr>
              <w:t xml:space="preserve">All grades: </w:t>
            </w:r>
            <w:r>
              <w:rPr>
                <w:color w:val="222222"/>
                <w:highlight w:val="white"/>
              </w:rPr>
              <w:t>print and digital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K-5/6: </w:t>
            </w:r>
            <w:r>
              <w:rPr>
                <w:color w:val="222222"/>
                <w:highlight w:val="white"/>
              </w:rPr>
              <w:t>print is softcover consumable magazines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highlight w:val="white"/>
              </w:rPr>
              <w:t xml:space="preserve">6/7-8: </w:t>
            </w:r>
            <w:r>
              <w:rPr>
                <w:color w:val="222222"/>
                <w:highlight w:val="white"/>
              </w:rPr>
              <w:t>print</w:t>
            </w:r>
            <w:r>
              <w:rPr>
                <w:color w:val="222222"/>
                <w:highlight w:val="white"/>
              </w:rPr>
              <w:t xml:space="preserve"> is hardcover textbooks w/ optional workbook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4th Grade WA State History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on Early NW Coast People, Oregon Trail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No, but supplementary online information available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Yes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No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No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7th Grade WA State History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No, but supplementary online information available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No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No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No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Available in Spanish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Platform can translate text into Spanish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396" w:type="dxa"/>
          </w:tcPr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Yes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Yes</w:t>
            </w:r>
          </w:p>
        </w:tc>
      </w:tr>
      <w:tr w:rsidR="009741F3"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Overall Committee Recommendation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endorse and strongly recommend this for grades PK-4. In the lower grades, it could be used as a stand-alone or supplementary material. In grades 5-8, this should not be used as a core curriculum, but could be a nice supplement.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the committee’s </w:t>
            </w:r>
            <w:r>
              <w:rPr>
                <w:sz w:val="20"/>
                <w:szCs w:val="20"/>
              </w:rPr>
              <w:t xml:space="preserve">pick for purchase as a core curriculum. It is the most teacher-friendly and met mostly all of the committee’s criteria. 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These are acceptable materials. However, they were the last choice of the committee. 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These are acceptable materials, and were tied as </w:t>
            </w:r>
            <w:r>
              <w:rPr>
                <w:color w:val="222222"/>
                <w:sz w:val="20"/>
                <w:szCs w:val="20"/>
              </w:rPr>
              <w:t xml:space="preserve">the committee’s second choice with HMH.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These are acceptable materials, and were tied as the committee’s second choice with McGraw Hill. </w:t>
            </w:r>
          </w:p>
        </w:tc>
      </w:tr>
      <w:tr w:rsidR="009741F3">
        <w:trPr>
          <w:trHeight w:val="8340"/>
        </w:trPr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Strengths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-Well-aligned to Common Core ELA standards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Strong social and literacy components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-Good for developing speaking and listening skills.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-Strong ELL modifications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-Project-based learning; highly interactive 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-Clear, easy-to-follow lesson plans.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-Expansive digital subscription with highly interactive digital tools for students.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-Online assessments provide assessment data visualizations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-Student-centered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charge for online professional development with a TCI consultant.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-Digital consumables available for print or electronic use.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-Varied assessments embedded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-Remediation automa</w:t>
            </w:r>
            <w:r>
              <w:rPr>
                <w:color w:val="222222"/>
                <w:sz w:val="20"/>
                <w:szCs w:val="20"/>
              </w:rPr>
              <w:t xml:space="preserve">tically sent to students who score below 70%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-Pacing guide for each chapter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-Cross-curricular connections built-in y book for 4th grade.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-Includes suggestions for culturally responsive pedagogy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-Online text translations available in many languages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-Teach</w:t>
            </w:r>
            <w:r>
              <w:rPr>
                <w:color w:val="222222"/>
                <w:sz w:val="20"/>
                <w:szCs w:val="20"/>
              </w:rPr>
              <w:t>ers can grade within the platform and upload their own resources.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-Explorer Magazine available as a supplement in digital and print form.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-Current events connections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-Customizable assessments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-Online resource library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-Cross-curricular connections embedded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-Lexile level can be adapted to accommodate all learners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-Database of grade-level appropriate news articles updated monthly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-Different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pacing guides available to accommodate different instructional hours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-Cross-curricular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connections embedded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-Customizable assessments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-Auto-assessment scoring with item analysis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-Lexile level can be adapted to accommodate all learners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-Access to History Channel videos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-Google classroom integration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-Includes rubrics for performance assessments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-Elementary program</w:t>
            </w:r>
            <w:r>
              <w:rPr>
                <w:color w:val="222222"/>
                <w:sz w:val="20"/>
                <w:szCs w:val="20"/>
              </w:rPr>
              <w:t xml:space="preserve"> is made of magazines; teachers can pick and choose which to use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-Access to Newseum database of newspaper covers through history</w:t>
            </w:r>
          </w:p>
        </w:tc>
      </w:tr>
      <w:tr w:rsidR="009741F3">
        <w:trPr>
          <w:trHeight w:val="3020"/>
        </w:trPr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Limitations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-Limited primary and secondary sources available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-Requires teacher to supplement with additional sources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-Each lesson lasts about a week- teacher concerns over feasibility of staying on track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-Lesson activities do not foster group/collaborative learning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-No online lessons, teachers just show the online text 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-Lesson activities do not foster group/collaborativ</w:t>
            </w:r>
            <w:r>
              <w:rPr>
                <w:sz w:val="20"/>
                <w:szCs w:val="20"/>
              </w:rPr>
              <w:t>e learning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-There may be too many materials for students to balance- inquiry journal, research companion, and explorer magazine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-Seems to be more reading than writing focused  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-Elementary magazine model requires renewal of magazines each year (no cost, b</w:t>
            </w:r>
            <w:r>
              <w:rPr>
                <w:sz w:val="20"/>
                <w:szCs w:val="20"/>
              </w:rPr>
              <w:t>ut negative environmental impact)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-Could offer too many materials- a bit overwhelming for teachers </w:t>
            </w: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Professional Development Opportunities Available  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$3,000 for onsite PD</w:t>
            </w:r>
          </w:p>
        </w:tc>
        <w:tc>
          <w:tcPr>
            <w:tcW w:w="2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0"/>
                <w:szCs w:val="20"/>
              </w:rPr>
            </w:pP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charge for professional development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access to on-demand tutorials and interactive webinar sessions included. Onsite training available (with fees)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 webinars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Recorded trainings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Embedded professional learning videos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Onsite (with fees)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Complimentary: </w:t>
            </w:r>
            <w:r>
              <w:rPr>
                <w:highlight w:val="white"/>
              </w:rPr>
              <w:t>Getting Started modules within on</w:t>
            </w:r>
            <w:r>
              <w:rPr>
                <w:highlight w:val="white"/>
              </w:rPr>
              <w:t>line platform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Purchased: 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In-person, webinar, AskHMH Q&amp;A service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Getting Started, follow-up, coaching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In-person:</w:t>
            </w:r>
            <w:r>
              <w:rPr>
                <w:sz w:val="16"/>
                <w:szCs w:val="16"/>
              </w:rPr>
              <w:t xml:space="preserve"> $2,800/day (6 hours)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Webinars:</w:t>
            </w:r>
            <w:r>
              <w:rPr>
                <w:sz w:val="16"/>
                <w:szCs w:val="16"/>
              </w:rPr>
              <w:t xml:space="preserve"> $800-$1,400 for 2-4 hours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Online coaching:</w:t>
            </w:r>
            <w:r>
              <w:rPr>
                <w:sz w:val="16"/>
                <w:szCs w:val="16"/>
              </w:rPr>
              <w:t xml:space="preserve"> $1,500-$4,500 for 4-8 sessions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Maximum number of participants varies. Depending on schedules, schools can collaborate on some options.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</w:tr>
      <w:tr w:rsidR="009741F3">
        <w:trPr>
          <w:trHeight w:val="960"/>
        </w:trPr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Sales Contact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Alisa Stevenson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alisa@socialstudies.com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(800) 421-4246 ext. 251 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Brian Thomas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bthomas@teachtci.com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Cost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>julie.coast@pearson.com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9741F3" w:rsidRDefault="00733952">
            <w:pPr>
              <w:pStyle w:val="normal0"/>
              <w:widowControl w:val="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480-457-6222</w:t>
            </w:r>
          </w:p>
          <w:p w:rsidR="009741F3" w:rsidRDefault="009741F3">
            <w:pPr>
              <w:pStyle w:val="normal0"/>
              <w:widowControl w:val="0"/>
              <w:shd w:val="clear" w:color="auto" w:fill="FFFFFF"/>
              <w:spacing w:line="240" w:lineRule="auto"/>
              <w:rPr>
                <w:b/>
                <w:sz w:val="20"/>
                <w:szCs w:val="20"/>
              </w:rPr>
            </w:pP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Simpson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jennifer.simpson@mheducation.com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480-290-8356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Heidi Schrock</w:t>
            </w:r>
          </w:p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hyperlink r:id="rId13" w:history="1">
              <w:r w:rsidRPr="007D1121">
                <w:rPr>
                  <w:rStyle w:val="Hyperlink"/>
                  <w:sz w:val="20"/>
                  <w:szCs w:val="20"/>
                  <w:highlight w:val="white"/>
                </w:rPr>
                <w:t>heidi.schrock@hmhco.com</w:t>
              </w:r>
            </w:hyperlink>
            <w:r>
              <w:rPr>
                <w:sz w:val="20"/>
                <w:szCs w:val="20"/>
                <w:highlight w:val="white"/>
              </w:rPr>
              <w:t xml:space="preserve"> </w:t>
            </w:r>
            <w:bookmarkStart w:id="0" w:name="_GoBack"/>
            <w:bookmarkEnd w:id="0"/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630-262-5438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Approx. Cost per Student for K-8 Six Year Adoption, 150 students*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>*</w:t>
            </w:r>
            <w:r>
              <w:rPr>
                <w:sz w:val="18"/>
                <w:szCs w:val="18"/>
              </w:rPr>
              <w:t>Pricing for StoryPath is shown for units, not by student. The prices listed are per grade level.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$1,960 for 24 units; $89 per unit to purchase individual units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$45 per student 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$110 per student for basic package. Price increases with digital subscriptions, leveled </w:t>
            </w:r>
            <w:r>
              <w:rPr>
                <w:sz w:val="20"/>
                <w:szCs w:val="20"/>
              </w:rPr>
              <w:lastRenderedPageBreak/>
              <w:t xml:space="preserve">reader super kits, and myWorld Interactive Activity Pack 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$98 per student. Price increases with additional materials.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$70 per student</w:t>
            </w:r>
          </w:p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Approx. Cost per Student for K-8 Six Year Adoption, 3,600 students 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$1,960 for 24 units; $89 per unit to purchase individual units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 per student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$87 per student.Price increases with digital subscriptions, leveled reader super kits, and myWorld Interactive Activity Pack 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$62 per student. Price increases with additional materials.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$64 per student</w:t>
            </w:r>
          </w:p>
          <w:p w:rsidR="009741F3" w:rsidRDefault="009741F3">
            <w:pPr>
              <w:pStyle w:val="normal0"/>
              <w:widowControl w:val="0"/>
              <w:spacing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Approx. Cost per Student for K-8 Six Year Adoption,        7, 300 Students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$1,960 for 24 units; $89 per unit to purchase individual units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 per student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$78 per student. Price increases with digital subscriptions, leveled reader super kits, and myWorld In</w:t>
            </w:r>
            <w:r>
              <w:rPr>
                <w:sz w:val="20"/>
                <w:szCs w:val="20"/>
              </w:rPr>
              <w:t>teractive Activity Pack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$62 per student. Price increases with additional materials.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$64 per student</w:t>
            </w:r>
          </w:p>
          <w:p w:rsidR="009741F3" w:rsidRDefault="009741F3">
            <w:pPr>
              <w:pStyle w:val="normal0"/>
              <w:widowControl w:val="0"/>
              <w:spacing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Approx. Cost per Student for K-8 Six Year Adoption, 12,000 students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$1,960 for 24 units; $89 per unit to purchase individual units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 per student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 per student. Price increases with digital subscriptions, leveled reader super kits, and myWorld Interactive Activity Pack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$62 per student. Price increases with additional materials.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$64 per student</w:t>
            </w:r>
          </w:p>
          <w:p w:rsidR="009741F3" w:rsidRDefault="009741F3">
            <w:pPr>
              <w:pStyle w:val="normal0"/>
              <w:widowControl w:val="0"/>
              <w:spacing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Approx. Cost per Student for K-8 Six Year Adoption,</w:t>
            </w:r>
            <w:r>
              <w:rPr>
                <w:b/>
              </w:rPr>
              <w:t xml:space="preserve"> 15,000 students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$1,960 for 24 units; $89 per unit to purchase individual units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 per student</w:t>
            </w:r>
          </w:p>
        </w:tc>
        <w:tc>
          <w:tcPr>
            <w:tcW w:w="2396" w:type="dxa"/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$74 per student. Price increases with digital subscriptions, leveled reader super kits, and myWorld Interactive Activity Pack</w:t>
            </w:r>
          </w:p>
        </w:tc>
        <w:tc>
          <w:tcPr>
            <w:tcW w:w="2397" w:type="dxa"/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$62 per student. Price increases with additional materials. </w:t>
            </w: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$64 per student</w:t>
            </w:r>
          </w:p>
          <w:p w:rsidR="009741F3" w:rsidRDefault="009741F3">
            <w:pPr>
              <w:pStyle w:val="normal0"/>
              <w:widowControl w:val="0"/>
              <w:spacing w:line="240" w:lineRule="auto"/>
              <w:rPr>
                <w:sz w:val="20"/>
                <w:szCs w:val="20"/>
                <w:highlight w:val="red"/>
              </w:rPr>
            </w:pPr>
          </w:p>
        </w:tc>
      </w:tr>
      <w:tr w:rsidR="009741F3">
        <w:tc>
          <w:tcPr>
            <w:tcW w:w="23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73395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*Pricing for StoryPath is shown for units, not by student. The prices listed above would be per grade level. </w:t>
            </w:r>
          </w:p>
        </w:tc>
        <w:tc>
          <w:tcPr>
            <w:tcW w:w="23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741F3" w:rsidRDefault="009741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41F3" w:rsidRDefault="009741F3">
            <w:pPr>
              <w:pStyle w:val="normal0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9741F3" w:rsidRDefault="009741F3">
      <w:pPr>
        <w:pStyle w:val="normal0"/>
      </w:pPr>
    </w:p>
    <w:sectPr w:rsidR="009741F3">
      <w:headerReference w:type="default" r:id="rId14"/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3952">
      <w:pPr>
        <w:spacing w:line="240" w:lineRule="auto"/>
      </w:pPr>
      <w:r>
        <w:separator/>
      </w:r>
    </w:p>
  </w:endnote>
  <w:endnote w:type="continuationSeparator" w:id="0">
    <w:p w:rsidR="00000000" w:rsidRDefault="00733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3952">
      <w:pPr>
        <w:spacing w:line="240" w:lineRule="auto"/>
      </w:pPr>
      <w:r>
        <w:separator/>
      </w:r>
    </w:p>
  </w:footnote>
  <w:footnote w:type="continuationSeparator" w:id="0">
    <w:p w:rsidR="00000000" w:rsidRDefault="00733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F3" w:rsidRDefault="009741F3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41F3"/>
    <w:rsid w:val="00733952"/>
    <w:rsid w:val="009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3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3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lie.coast@pearson.com" TargetMode="External"/><Relationship Id="rId12" Type="http://schemas.openxmlformats.org/officeDocument/2006/relationships/hyperlink" Target="mailto:jennifer.simpson@mheducation.com" TargetMode="External"/><Relationship Id="rId13" Type="http://schemas.openxmlformats.org/officeDocument/2006/relationships/hyperlink" Target="mailto:heidi.schrock@hmhco.com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spreadsheets/d/1lpf5aVxlhJtDP7aaMYjraR8800auOcRRDo0V6vakm1o/edit?usp=sharing" TargetMode="External"/><Relationship Id="rId9" Type="http://schemas.openxmlformats.org/officeDocument/2006/relationships/hyperlink" Target="mailto:alisa@socialstudies.com" TargetMode="External"/><Relationship Id="rId10" Type="http://schemas.openxmlformats.org/officeDocument/2006/relationships/hyperlink" Target="mailto:bthomas@teachtc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1285</Words>
  <Characters>7329</Characters>
  <Application>Microsoft Macintosh Word</Application>
  <DocSecurity>0</DocSecurity>
  <Lines>61</Lines>
  <Paragraphs>17</Paragraphs>
  <ScaleCrop>false</ScaleCrop>
  <Company>Archdiocese of Seattle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Kaitlyn Oleary</cp:lastModifiedBy>
  <cp:revision>2</cp:revision>
  <dcterms:created xsi:type="dcterms:W3CDTF">2019-11-12T02:04:00Z</dcterms:created>
  <dcterms:modified xsi:type="dcterms:W3CDTF">2019-11-12T02:04:00Z</dcterms:modified>
</cp:coreProperties>
</file>