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color w:val="172b4d"/>
          <w:sz w:val="28"/>
          <w:szCs w:val="28"/>
        </w:rPr>
      </w:pPr>
      <w:r w:rsidDel="00000000" w:rsidR="00000000" w:rsidRPr="00000000">
        <w:rPr>
          <w:b w:val="1"/>
          <w:color w:val="172b4d"/>
          <w:sz w:val="28"/>
          <w:szCs w:val="28"/>
          <w:rtl w:val="0"/>
        </w:rPr>
        <w:t xml:space="preserve">Archdiocese of Seattle Office for Catholic Schools:                                   Distance Learning &amp; Assessment Guidelines during the COVID-19 Crisis </w:t>
      </w:r>
    </w:p>
    <w:p w:rsidR="00000000" w:rsidDel="00000000" w:rsidP="00000000" w:rsidRDefault="00000000" w:rsidRPr="00000000" w14:paraId="00000002">
      <w:pPr>
        <w:pageBreakBefore w:val="0"/>
        <w:rPr>
          <w:b w:val="1"/>
          <w:color w:val="172b4d"/>
          <w:sz w:val="21"/>
          <w:szCs w:val="21"/>
        </w:rPr>
      </w:pPr>
      <w:r w:rsidDel="00000000" w:rsidR="00000000" w:rsidRPr="00000000">
        <w:rPr>
          <w:rtl w:val="0"/>
        </w:rPr>
      </w:r>
    </w:p>
    <w:p w:rsidR="00000000" w:rsidDel="00000000" w:rsidP="00000000" w:rsidRDefault="00000000" w:rsidRPr="00000000" w14:paraId="00000003">
      <w:pPr>
        <w:pageBreakBefore w:val="0"/>
        <w:rPr>
          <w:b w:val="1"/>
          <w:color w:val="172b4d"/>
          <w:sz w:val="21"/>
          <w:szCs w:val="21"/>
        </w:rPr>
      </w:pPr>
      <w:r w:rsidDel="00000000" w:rsidR="00000000" w:rsidRPr="00000000">
        <w:rPr>
          <w:b w:val="1"/>
          <w:color w:val="172b4d"/>
          <w:sz w:val="21"/>
          <w:szCs w:val="21"/>
          <w:rtl w:val="0"/>
        </w:rPr>
        <w:t xml:space="preserve">INSTRUCTION </w:t>
      </w:r>
    </w:p>
    <w:p w:rsidR="00000000" w:rsidDel="00000000" w:rsidP="00000000" w:rsidRDefault="00000000" w:rsidRPr="00000000" w14:paraId="00000004">
      <w:pPr>
        <w:pageBreakBefore w:val="0"/>
        <w:rPr>
          <w:b w:val="1"/>
          <w:color w:val="172b4d"/>
          <w:sz w:val="21"/>
          <w:szCs w:val="21"/>
        </w:rPr>
      </w:pPr>
      <w:r w:rsidDel="00000000" w:rsidR="00000000" w:rsidRPr="00000000">
        <w:rPr>
          <w:rtl w:val="0"/>
        </w:rPr>
      </w:r>
    </w:p>
    <w:p w:rsidR="00000000" w:rsidDel="00000000" w:rsidP="00000000" w:rsidRDefault="00000000" w:rsidRPr="00000000" w14:paraId="00000005">
      <w:pPr>
        <w:pageBreakBefore w:val="0"/>
        <w:rPr>
          <w:b w:val="1"/>
          <w:color w:val="172b4d"/>
          <w:sz w:val="21"/>
          <w:szCs w:val="21"/>
        </w:rPr>
      </w:pPr>
      <w:r w:rsidDel="00000000" w:rsidR="00000000" w:rsidRPr="00000000">
        <w:rPr>
          <w:b w:val="1"/>
          <w:color w:val="172b4d"/>
          <w:sz w:val="21"/>
          <w:szCs w:val="21"/>
          <w:rtl w:val="0"/>
        </w:rPr>
        <w:t xml:space="preserve">How should instruction be delivered during distance learning? </w:t>
      </w:r>
    </w:p>
    <w:p w:rsidR="00000000" w:rsidDel="00000000" w:rsidP="00000000" w:rsidRDefault="00000000" w:rsidRPr="00000000" w14:paraId="00000006">
      <w:pPr>
        <w:pageBreakBefore w:val="0"/>
        <w:rPr>
          <w:b w:val="1"/>
          <w:color w:val="172b4d"/>
          <w:sz w:val="21"/>
          <w:szCs w:val="21"/>
        </w:rPr>
      </w:pPr>
      <w:r w:rsidDel="00000000" w:rsidR="00000000" w:rsidRPr="00000000">
        <w:rPr>
          <w:rtl w:val="0"/>
        </w:rPr>
      </w:r>
    </w:p>
    <w:p w:rsidR="00000000" w:rsidDel="00000000" w:rsidP="00000000" w:rsidRDefault="00000000" w:rsidRPr="00000000" w14:paraId="00000007">
      <w:pPr>
        <w:pageBreakBefore w:val="0"/>
        <w:rPr>
          <w:color w:val="172b4d"/>
          <w:sz w:val="21"/>
          <w:szCs w:val="21"/>
        </w:rPr>
      </w:pPr>
      <w:r w:rsidDel="00000000" w:rsidR="00000000" w:rsidRPr="00000000">
        <w:rPr>
          <w:color w:val="172b4d"/>
          <w:sz w:val="21"/>
          <w:szCs w:val="21"/>
          <w:rtl w:val="0"/>
        </w:rPr>
        <w:t xml:space="preserve">A combination of synchronous and asynchronous learning opportunities should be provided. Any synchronous learning facilitated should be recorded and made available to students who are not able to access the learning at the scheduled time. All students and families have different realities right now, so educators should be mindful of making learning accessible to everyone through flexible options. Learning might be a combination of teacher office hours, recorded video instruction, independent assignments, and short live video lessons, for example. </w:t>
      </w:r>
    </w:p>
    <w:p w:rsidR="00000000" w:rsidDel="00000000" w:rsidP="00000000" w:rsidRDefault="00000000" w:rsidRPr="00000000" w14:paraId="00000008">
      <w:pPr>
        <w:pageBreakBefore w:val="0"/>
        <w:rPr>
          <w:color w:val="172b4d"/>
          <w:sz w:val="21"/>
          <w:szCs w:val="21"/>
        </w:rPr>
      </w:pPr>
      <w:r w:rsidDel="00000000" w:rsidR="00000000" w:rsidRPr="00000000">
        <w:rPr>
          <w:rtl w:val="0"/>
        </w:rPr>
      </w:r>
    </w:p>
    <w:p w:rsidR="00000000" w:rsidDel="00000000" w:rsidP="00000000" w:rsidRDefault="00000000" w:rsidRPr="00000000" w14:paraId="00000009">
      <w:pPr>
        <w:pageBreakBefore w:val="0"/>
        <w:rPr>
          <w:b w:val="1"/>
          <w:color w:val="172b4d"/>
          <w:sz w:val="21"/>
          <w:szCs w:val="21"/>
        </w:rPr>
      </w:pPr>
      <w:r w:rsidDel="00000000" w:rsidR="00000000" w:rsidRPr="00000000">
        <w:rPr>
          <w:b w:val="1"/>
          <w:color w:val="172b4d"/>
          <w:sz w:val="21"/>
          <w:szCs w:val="21"/>
          <w:rtl w:val="0"/>
        </w:rPr>
        <w:t xml:space="preserve">How much instruction is recommended daily? </w:t>
      </w:r>
    </w:p>
    <w:p w:rsidR="00000000" w:rsidDel="00000000" w:rsidP="00000000" w:rsidRDefault="00000000" w:rsidRPr="00000000" w14:paraId="0000000A">
      <w:pPr>
        <w:pageBreakBefore w:val="0"/>
        <w:rPr>
          <w:color w:val="172b4d"/>
          <w:sz w:val="21"/>
          <w:szCs w:val="21"/>
        </w:rPr>
      </w:pPr>
      <w:r w:rsidDel="00000000" w:rsidR="00000000" w:rsidRPr="00000000">
        <w:rPr>
          <w:rtl w:val="0"/>
        </w:rPr>
      </w:r>
    </w:p>
    <w:p w:rsidR="00000000" w:rsidDel="00000000" w:rsidP="00000000" w:rsidRDefault="00000000" w:rsidRPr="00000000" w14:paraId="0000000B">
      <w:pPr>
        <w:pageBreakBefore w:val="0"/>
        <w:rPr>
          <w:color w:val="172b4d"/>
          <w:sz w:val="21"/>
          <w:szCs w:val="21"/>
        </w:rPr>
      </w:pPr>
      <w:r w:rsidDel="00000000" w:rsidR="00000000" w:rsidRPr="00000000">
        <w:rPr>
          <w:color w:val="172b4d"/>
          <w:sz w:val="21"/>
          <w:szCs w:val="21"/>
          <w:rtl w:val="0"/>
        </w:rPr>
        <w:t xml:space="preserve">OSPI guidance suggests the following time allocations for maximum student commitment each day. We recommend that Archdiocesan schools do not exceed 1.5 times the amount of daily student learning time recommended by OSPI. These times reflect total time for asynchronous and synchronous learning activities.</w:t>
      </w:r>
    </w:p>
    <w:p w:rsidR="00000000" w:rsidDel="00000000" w:rsidP="00000000" w:rsidRDefault="00000000" w:rsidRPr="00000000" w14:paraId="0000000C">
      <w:pPr>
        <w:pageBreakBefore w:val="0"/>
        <w:rPr>
          <w:color w:val="172b4d"/>
          <w:sz w:val="21"/>
          <w:szCs w:val="21"/>
        </w:rPr>
      </w:pPr>
      <w:r w:rsidDel="00000000" w:rsidR="00000000" w:rsidRPr="00000000">
        <w:rPr>
          <w:rtl w:val="0"/>
        </w:rPr>
      </w:r>
    </w:p>
    <w:tbl>
      <w:tblPr>
        <w:tblStyle w:val="Table1"/>
        <w:tblW w:w="102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4215"/>
        <w:gridCol w:w="4740"/>
        <w:tblGridChange w:id="0">
          <w:tblGrid>
            <w:gridCol w:w="1260"/>
            <w:gridCol w:w="4215"/>
            <w:gridCol w:w="47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172b4d"/>
                <w:sz w:val="21"/>
                <w:szCs w:val="2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172b4d"/>
                <w:sz w:val="21"/>
                <w:szCs w:val="21"/>
              </w:rPr>
            </w:pPr>
            <w:r w:rsidDel="00000000" w:rsidR="00000000" w:rsidRPr="00000000">
              <w:rPr>
                <w:b w:val="1"/>
                <w:color w:val="172b4d"/>
                <w:sz w:val="21"/>
                <w:szCs w:val="21"/>
                <w:rtl w:val="0"/>
              </w:rPr>
              <w:t xml:space="preserve">OSPI Recommendations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172b4d"/>
                <w:sz w:val="21"/>
                <w:szCs w:val="21"/>
              </w:rPr>
            </w:pPr>
            <w:r w:rsidDel="00000000" w:rsidR="00000000" w:rsidRPr="00000000">
              <w:rPr>
                <w:b w:val="1"/>
                <w:color w:val="172b4d"/>
                <w:sz w:val="21"/>
                <w:szCs w:val="21"/>
                <w:rtl w:val="0"/>
              </w:rPr>
              <w:t xml:space="preserve">Archdiocesan Recommendations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72b4d"/>
                <w:sz w:val="21"/>
                <w:szCs w:val="21"/>
              </w:rPr>
            </w:pPr>
            <w:r w:rsidDel="00000000" w:rsidR="00000000" w:rsidRPr="00000000">
              <w:rPr>
                <w:b w:val="1"/>
                <w:color w:val="172b4d"/>
                <w:sz w:val="21"/>
                <w:szCs w:val="21"/>
                <w:rtl w:val="0"/>
              </w:rPr>
              <w:t xml:space="preserve">Pre- 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2b4d"/>
                <w:sz w:val="21"/>
                <w:szCs w:val="21"/>
              </w:rPr>
            </w:pPr>
            <w:r w:rsidDel="00000000" w:rsidR="00000000" w:rsidRPr="00000000">
              <w:rPr>
                <w:color w:val="172b4d"/>
                <w:sz w:val="21"/>
                <w:szCs w:val="21"/>
                <w:rtl w:val="0"/>
              </w:rPr>
              <w:t xml:space="preserve">30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2b4d"/>
                <w:sz w:val="21"/>
                <w:szCs w:val="21"/>
              </w:rPr>
            </w:pPr>
            <w:r w:rsidDel="00000000" w:rsidR="00000000" w:rsidRPr="00000000">
              <w:rPr>
                <w:color w:val="172b4d"/>
                <w:sz w:val="21"/>
                <w:szCs w:val="21"/>
                <w:rtl w:val="0"/>
              </w:rPr>
              <w:t xml:space="preserve">30 - 45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72b4d"/>
                <w:sz w:val="21"/>
                <w:szCs w:val="21"/>
              </w:rPr>
            </w:pPr>
            <w:r w:rsidDel="00000000" w:rsidR="00000000" w:rsidRPr="00000000">
              <w:rPr>
                <w:b w:val="1"/>
                <w:color w:val="172b4d"/>
                <w:sz w:val="21"/>
                <w:szCs w:val="21"/>
                <w:rtl w:val="0"/>
              </w:rPr>
              <w:t xml:space="preserve">K-1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2b4d"/>
                <w:sz w:val="21"/>
                <w:szCs w:val="21"/>
              </w:rPr>
            </w:pPr>
            <w:r w:rsidDel="00000000" w:rsidR="00000000" w:rsidRPr="00000000">
              <w:rPr>
                <w:color w:val="172b4d"/>
                <w:sz w:val="21"/>
                <w:szCs w:val="21"/>
                <w:rtl w:val="0"/>
              </w:rPr>
              <w:t xml:space="preserve">45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2b4d"/>
                <w:sz w:val="21"/>
                <w:szCs w:val="21"/>
              </w:rPr>
            </w:pPr>
            <w:r w:rsidDel="00000000" w:rsidR="00000000" w:rsidRPr="00000000">
              <w:rPr>
                <w:color w:val="172b4d"/>
                <w:sz w:val="21"/>
                <w:szCs w:val="21"/>
                <w:rtl w:val="0"/>
              </w:rPr>
              <w:t xml:space="preserve">45 - 70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72b4d"/>
                <w:sz w:val="21"/>
                <w:szCs w:val="21"/>
              </w:rPr>
            </w:pPr>
            <w:r w:rsidDel="00000000" w:rsidR="00000000" w:rsidRPr="00000000">
              <w:rPr>
                <w:b w:val="1"/>
                <w:color w:val="172b4d"/>
                <w:sz w:val="21"/>
                <w:szCs w:val="21"/>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2b4d"/>
                <w:sz w:val="21"/>
                <w:szCs w:val="21"/>
              </w:rPr>
            </w:pPr>
            <w:r w:rsidDel="00000000" w:rsidR="00000000" w:rsidRPr="00000000">
              <w:rPr>
                <w:color w:val="172b4d"/>
                <w:sz w:val="21"/>
                <w:szCs w:val="21"/>
                <w:rtl w:val="0"/>
              </w:rPr>
              <w:t xml:space="preserve">60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2b4d"/>
                <w:sz w:val="21"/>
                <w:szCs w:val="21"/>
              </w:rPr>
            </w:pPr>
            <w:r w:rsidDel="00000000" w:rsidR="00000000" w:rsidRPr="00000000">
              <w:rPr>
                <w:color w:val="172b4d"/>
                <w:sz w:val="21"/>
                <w:szCs w:val="21"/>
                <w:rtl w:val="0"/>
              </w:rPr>
              <w:t xml:space="preserve">60 - 90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72b4d"/>
                <w:sz w:val="21"/>
                <w:szCs w:val="21"/>
              </w:rPr>
            </w:pPr>
            <w:r w:rsidDel="00000000" w:rsidR="00000000" w:rsidRPr="00000000">
              <w:rPr>
                <w:b w:val="1"/>
                <w:color w:val="172b4d"/>
                <w:sz w:val="21"/>
                <w:szCs w:val="21"/>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2b4d"/>
                <w:sz w:val="21"/>
                <w:szCs w:val="21"/>
              </w:rPr>
            </w:pPr>
            <w:r w:rsidDel="00000000" w:rsidR="00000000" w:rsidRPr="00000000">
              <w:rPr>
                <w:color w:val="172b4d"/>
                <w:sz w:val="21"/>
                <w:szCs w:val="21"/>
                <w:rtl w:val="0"/>
              </w:rPr>
              <w:t xml:space="preserve">90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2b4d"/>
                <w:sz w:val="21"/>
                <w:szCs w:val="21"/>
              </w:rPr>
            </w:pPr>
            <w:r w:rsidDel="00000000" w:rsidR="00000000" w:rsidRPr="00000000">
              <w:rPr>
                <w:color w:val="172b4d"/>
                <w:sz w:val="21"/>
                <w:szCs w:val="21"/>
                <w:rtl w:val="0"/>
              </w:rPr>
              <w:t xml:space="preserve">90 - 135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72b4d"/>
                <w:sz w:val="21"/>
                <w:szCs w:val="21"/>
              </w:rPr>
            </w:pPr>
            <w:r w:rsidDel="00000000" w:rsidR="00000000" w:rsidRPr="00000000">
              <w:rPr>
                <w:b w:val="1"/>
                <w:color w:val="172b4d"/>
                <w:sz w:val="21"/>
                <w:szCs w:val="21"/>
                <w:rtl w:val="0"/>
              </w:rPr>
              <w:t xml:space="preserve">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2b4d"/>
                <w:sz w:val="21"/>
                <w:szCs w:val="21"/>
              </w:rPr>
            </w:pPr>
            <w:r w:rsidDel="00000000" w:rsidR="00000000" w:rsidRPr="00000000">
              <w:rPr>
                <w:color w:val="172b4d"/>
                <w:sz w:val="21"/>
                <w:szCs w:val="21"/>
                <w:rtl w:val="0"/>
              </w:rPr>
              <w:t xml:space="preserve">150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2b4d"/>
                <w:sz w:val="21"/>
                <w:szCs w:val="21"/>
              </w:rPr>
            </w:pPr>
            <w:r w:rsidDel="00000000" w:rsidR="00000000" w:rsidRPr="00000000">
              <w:rPr>
                <w:color w:val="172b4d"/>
                <w:sz w:val="21"/>
                <w:szCs w:val="21"/>
                <w:rtl w:val="0"/>
              </w:rPr>
              <w:t xml:space="preserve">150 - 225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72b4d"/>
                <w:sz w:val="21"/>
                <w:szCs w:val="21"/>
              </w:rPr>
            </w:pPr>
            <w:r w:rsidDel="00000000" w:rsidR="00000000" w:rsidRPr="00000000">
              <w:rPr>
                <w:b w:val="1"/>
                <w:color w:val="172b4d"/>
                <w:sz w:val="21"/>
                <w:szCs w:val="21"/>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2b4d"/>
                <w:sz w:val="21"/>
                <w:szCs w:val="21"/>
              </w:rPr>
            </w:pPr>
            <w:r w:rsidDel="00000000" w:rsidR="00000000" w:rsidRPr="00000000">
              <w:rPr>
                <w:color w:val="172b4d"/>
                <w:sz w:val="21"/>
                <w:szCs w:val="21"/>
                <w:rtl w:val="0"/>
              </w:rPr>
              <w:t xml:space="preserve">180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172b4d"/>
                <w:sz w:val="21"/>
                <w:szCs w:val="21"/>
              </w:rPr>
            </w:pPr>
            <w:r w:rsidDel="00000000" w:rsidR="00000000" w:rsidRPr="00000000">
              <w:rPr>
                <w:color w:val="172b4d"/>
                <w:sz w:val="21"/>
                <w:szCs w:val="21"/>
                <w:rtl w:val="0"/>
              </w:rPr>
              <w:t xml:space="preserve">180 - 270 minutes</w:t>
            </w:r>
          </w:p>
        </w:tc>
      </w:tr>
    </w:tbl>
    <w:p w:rsidR="00000000" w:rsidDel="00000000" w:rsidP="00000000" w:rsidRDefault="00000000" w:rsidRPr="00000000" w14:paraId="00000022">
      <w:pPr>
        <w:pageBreakBefore w:val="0"/>
        <w:rPr>
          <w:color w:val="172b4d"/>
          <w:sz w:val="21"/>
          <w:szCs w:val="21"/>
        </w:rPr>
      </w:pPr>
      <w:r w:rsidDel="00000000" w:rsidR="00000000" w:rsidRPr="00000000">
        <w:rPr>
          <w:rtl w:val="0"/>
        </w:rPr>
      </w:r>
    </w:p>
    <w:p w:rsidR="00000000" w:rsidDel="00000000" w:rsidP="00000000" w:rsidRDefault="00000000" w:rsidRPr="00000000" w14:paraId="00000023">
      <w:pPr>
        <w:pageBreakBefore w:val="0"/>
        <w:rPr>
          <w:b w:val="1"/>
          <w:color w:val="172b4d"/>
          <w:sz w:val="21"/>
          <w:szCs w:val="21"/>
        </w:rPr>
      </w:pPr>
      <w:r w:rsidDel="00000000" w:rsidR="00000000" w:rsidRPr="00000000">
        <w:rPr>
          <w:b w:val="1"/>
          <w:color w:val="172b4d"/>
          <w:sz w:val="21"/>
          <w:szCs w:val="21"/>
          <w:rtl w:val="0"/>
        </w:rPr>
        <w:t xml:space="preserve">How should teachers schedule their time during distance learning? </w:t>
      </w:r>
    </w:p>
    <w:p w:rsidR="00000000" w:rsidDel="00000000" w:rsidP="00000000" w:rsidRDefault="00000000" w:rsidRPr="00000000" w14:paraId="00000024">
      <w:pPr>
        <w:pageBreakBefore w:val="0"/>
        <w:rPr>
          <w:b w:val="1"/>
          <w:color w:val="172b4d"/>
          <w:sz w:val="21"/>
          <w:szCs w:val="21"/>
        </w:rPr>
      </w:pPr>
      <w:r w:rsidDel="00000000" w:rsidR="00000000" w:rsidRPr="00000000">
        <w:rPr>
          <w:rtl w:val="0"/>
        </w:rPr>
      </w:r>
    </w:p>
    <w:p w:rsidR="00000000" w:rsidDel="00000000" w:rsidP="00000000" w:rsidRDefault="00000000" w:rsidRPr="00000000" w14:paraId="00000025">
      <w:pPr>
        <w:pageBreakBefore w:val="0"/>
        <w:rPr>
          <w:color w:val="172b4d"/>
          <w:sz w:val="21"/>
          <w:szCs w:val="21"/>
        </w:rPr>
      </w:pPr>
      <w:r w:rsidDel="00000000" w:rsidR="00000000" w:rsidRPr="00000000">
        <w:rPr>
          <w:color w:val="172b4d"/>
          <w:sz w:val="21"/>
          <w:szCs w:val="21"/>
          <w:rtl w:val="0"/>
        </w:rPr>
        <w:t xml:space="preserve">Many teachers have families of their own and responsibilities at home that might prohibit them from working typical hours during this time. Teachers should not work in excess of their normal contracted hours, though their daily schedules may be different than when in a school building. We recommend that teachers meet the following expectations: </w:t>
      </w:r>
    </w:p>
    <w:p w:rsidR="00000000" w:rsidDel="00000000" w:rsidP="00000000" w:rsidRDefault="00000000" w:rsidRPr="00000000" w14:paraId="00000026">
      <w:pPr>
        <w:pageBreakBefore w:val="0"/>
        <w:numPr>
          <w:ilvl w:val="0"/>
          <w:numId w:val="1"/>
        </w:numPr>
        <w:ind w:left="720" w:hanging="360"/>
        <w:rPr>
          <w:color w:val="172b4d"/>
          <w:sz w:val="21"/>
          <w:szCs w:val="21"/>
          <w:u w:val="none"/>
        </w:rPr>
      </w:pPr>
      <w:r w:rsidDel="00000000" w:rsidR="00000000" w:rsidRPr="00000000">
        <w:rPr>
          <w:color w:val="172b4d"/>
          <w:sz w:val="21"/>
          <w:szCs w:val="21"/>
          <w:rtl w:val="0"/>
        </w:rPr>
        <w:t xml:space="preserve">Provide regularly scheduled office hours during which times students can receive assistance via phone, video conferencing, email, google classroom, or other means established by the teacher </w:t>
      </w:r>
    </w:p>
    <w:p w:rsidR="00000000" w:rsidDel="00000000" w:rsidP="00000000" w:rsidRDefault="00000000" w:rsidRPr="00000000" w14:paraId="00000027">
      <w:pPr>
        <w:pageBreakBefore w:val="0"/>
        <w:numPr>
          <w:ilvl w:val="0"/>
          <w:numId w:val="1"/>
        </w:numPr>
        <w:ind w:left="720" w:hanging="360"/>
        <w:rPr>
          <w:color w:val="172b4d"/>
          <w:sz w:val="21"/>
          <w:szCs w:val="21"/>
          <w:u w:val="none"/>
        </w:rPr>
      </w:pPr>
      <w:r w:rsidDel="00000000" w:rsidR="00000000" w:rsidRPr="00000000">
        <w:rPr>
          <w:color w:val="172b4d"/>
          <w:sz w:val="21"/>
          <w:szCs w:val="21"/>
          <w:rtl w:val="0"/>
        </w:rPr>
        <w:t xml:space="preserve">Respond to email inquiries within 24 hours during the school week </w:t>
      </w:r>
    </w:p>
    <w:p w:rsidR="00000000" w:rsidDel="00000000" w:rsidP="00000000" w:rsidRDefault="00000000" w:rsidRPr="00000000" w14:paraId="00000028">
      <w:pPr>
        <w:pageBreakBefore w:val="0"/>
        <w:numPr>
          <w:ilvl w:val="0"/>
          <w:numId w:val="1"/>
        </w:numPr>
        <w:ind w:left="720" w:hanging="360"/>
        <w:rPr>
          <w:color w:val="172b4d"/>
          <w:sz w:val="21"/>
          <w:szCs w:val="21"/>
          <w:u w:val="none"/>
        </w:rPr>
      </w:pPr>
      <w:r w:rsidDel="00000000" w:rsidR="00000000" w:rsidRPr="00000000">
        <w:rPr>
          <w:color w:val="172b4d"/>
          <w:sz w:val="21"/>
          <w:szCs w:val="21"/>
          <w:rtl w:val="0"/>
        </w:rPr>
        <w:t xml:space="preserve">Participate in all staff and team meetings as requested by the principal </w:t>
      </w:r>
    </w:p>
    <w:p w:rsidR="00000000" w:rsidDel="00000000" w:rsidP="00000000" w:rsidRDefault="00000000" w:rsidRPr="00000000" w14:paraId="00000029">
      <w:pPr>
        <w:pageBreakBefore w:val="0"/>
        <w:numPr>
          <w:ilvl w:val="0"/>
          <w:numId w:val="1"/>
        </w:numPr>
        <w:ind w:left="720" w:hanging="360"/>
        <w:rPr>
          <w:color w:val="172b4d"/>
          <w:sz w:val="21"/>
          <w:szCs w:val="21"/>
          <w:u w:val="none"/>
        </w:rPr>
      </w:pPr>
      <w:r w:rsidDel="00000000" w:rsidR="00000000" w:rsidRPr="00000000">
        <w:rPr>
          <w:color w:val="172b4d"/>
          <w:sz w:val="21"/>
          <w:szCs w:val="21"/>
          <w:rtl w:val="0"/>
        </w:rPr>
        <w:t xml:space="preserve">Provide students with feedback on assignments within a predetermined time frame. For example, students are expected to turn in assignments by Thursday, and can expect to receive feedback by Monday (this should be determined at the school level). </w:t>
      </w:r>
    </w:p>
    <w:p w:rsidR="00000000" w:rsidDel="00000000" w:rsidP="00000000" w:rsidRDefault="00000000" w:rsidRPr="00000000" w14:paraId="0000002A">
      <w:pPr>
        <w:pageBreakBefore w:val="0"/>
        <w:ind w:left="720" w:firstLine="0"/>
        <w:rPr>
          <w:color w:val="172b4d"/>
          <w:sz w:val="21"/>
          <w:szCs w:val="21"/>
        </w:rPr>
      </w:pPr>
      <w:r w:rsidDel="00000000" w:rsidR="00000000" w:rsidRPr="00000000">
        <w:rPr>
          <w:rtl w:val="0"/>
        </w:rPr>
      </w:r>
    </w:p>
    <w:p w:rsidR="00000000" w:rsidDel="00000000" w:rsidP="00000000" w:rsidRDefault="00000000" w:rsidRPr="00000000" w14:paraId="0000002B">
      <w:pPr>
        <w:pageBreakBefore w:val="0"/>
        <w:rPr>
          <w:b w:val="1"/>
          <w:color w:val="172b4d"/>
          <w:sz w:val="21"/>
          <w:szCs w:val="21"/>
        </w:rPr>
      </w:pPr>
      <w:r w:rsidDel="00000000" w:rsidR="00000000" w:rsidRPr="00000000">
        <w:rPr>
          <w:b w:val="1"/>
          <w:color w:val="172b4d"/>
          <w:sz w:val="21"/>
          <w:szCs w:val="21"/>
          <w:rtl w:val="0"/>
        </w:rPr>
        <w:t xml:space="preserve">ASSESSMENT </w:t>
      </w:r>
    </w:p>
    <w:p w:rsidR="00000000" w:rsidDel="00000000" w:rsidP="00000000" w:rsidRDefault="00000000" w:rsidRPr="00000000" w14:paraId="0000002C">
      <w:pPr>
        <w:pageBreakBefore w:val="0"/>
        <w:rPr>
          <w:b w:val="1"/>
          <w:color w:val="172b4d"/>
          <w:sz w:val="21"/>
          <w:szCs w:val="21"/>
        </w:rPr>
      </w:pPr>
      <w:r w:rsidDel="00000000" w:rsidR="00000000" w:rsidRPr="00000000">
        <w:rPr>
          <w:rtl w:val="0"/>
        </w:rPr>
      </w:r>
    </w:p>
    <w:p w:rsidR="00000000" w:rsidDel="00000000" w:rsidP="00000000" w:rsidRDefault="00000000" w:rsidRPr="00000000" w14:paraId="0000002D">
      <w:pPr>
        <w:pageBreakBefore w:val="0"/>
        <w:rPr>
          <w:b w:val="1"/>
          <w:color w:val="172b4d"/>
          <w:sz w:val="21"/>
          <w:szCs w:val="21"/>
        </w:rPr>
      </w:pPr>
      <w:r w:rsidDel="00000000" w:rsidR="00000000" w:rsidRPr="00000000">
        <w:rPr>
          <w:b w:val="1"/>
          <w:color w:val="172b4d"/>
          <w:sz w:val="21"/>
          <w:szCs w:val="21"/>
          <w:rtl w:val="0"/>
        </w:rPr>
        <w:t xml:space="preserve">How should we assign grades for high school credit-bearing courses during distance learning?</w:t>
      </w:r>
    </w:p>
    <w:p w:rsidR="00000000" w:rsidDel="00000000" w:rsidP="00000000" w:rsidRDefault="00000000" w:rsidRPr="00000000" w14:paraId="0000002E">
      <w:pPr>
        <w:pageBreakBefore w:val="0"/>
        <w:rPr>
          <w:color w:val="172b4d"/>
          <w:sz w:val="21"/>
          <w:szCs w:val="21"/>
        </w:rPr>
      </w:pPr>
      <w:r w:rsidDel="00000000" w:rsidR="00000000" w:rsidRPr="00000000">
        <w:rPr>
          <w:color w:val="172b4d"/>
          <w:sz w:val="21"/>
          <w:szCs w:val="21"/>
          <w:rtl w:val="0"/>
        </w:rPr>
        <w:t xml:space="preserve"> </w:t>
      </w:r>
    </w:p>
    <w:p w:rsidR="00000000" w:rsidDel="00000000" w:rsidP="00000000" w:rsidRDefault="00000000" w:rsidRPr="00000000" w14:paraId="0000002F">
      <w:pPr>
        <w:pageBreakBefore w:val="0"/>
        <w:rPr>
          <w:color w:val="172b4d"/>
          <w:sz w:val="21"/>
          <w:szCs w:val="21"/>
        </w:rPr>
      </w:pPr>
      <w:r w:rsidDel="00000000" w:rsidR="00000000" w:rsidRPr="00000000">
        <w:rPr>
          <w:color w:val="172b4d"/>
          <w:sz w:val="21"/>
          <w:szCs w:val="21"/>
          <w:rtl w:val="0"/>
        </w:rPr>
        <w:t xml:space="preserve">All students taking high school credit-bearing courses must receive a letter grade, but may not receive an F. Students may earn an </w:t>
      </w:r>
      <w:r w:rsidDel="00000000" w:rsidR="00000000" w:rsidRPr="00000000">
        <w:rPr>
          <w:i w:val="1"/>
          <w:color w:val="172b4d"/>
          <w:sz w:val="21"/>
          <w:szCs w:val="21"/>
          <w:rtl w:val="0"/>
        </w:rPr>
        <w:t xml:space="preserve">incomplete</w:t>
      </w:r>
      <w:r w:rsidDel="00000000" w:rsidR="00000000" w:rsidRPr="00000000">
        <w:rPr>
          <w:color w:val="172b4d"/>
          <w:sz w:val="21"/>
          <w:szCs w:val="21"/>
          <w:rtl w:val="0"/>
        </w:rPr>
        <w:t xml:space="preserve"> for a credit-bearing course, and must be given the opportunity to complete the course via summer school, independent study, future online learning, next year, or another means of making up the credit determined by the school. For courses which require a letter grade, we recommend following the guidelines in the right-hand column of the table below. </w:t>
      </w:r>
    </w:p>
    <w:p w:rsidR="00000000" w:rsidDel="00000000" w:rsidP="00000000" w:rsidRDefault="00000000" w:rsidRPr="00000000" w14:paraId="00000030">
      <w:pPr>
        <w:pageBreakBefore w:val="0"/>
        <w:rPr>
          <w:color w:val="172b4d"/>
          <w:sz w:val="21"/>
          <w:szCs w:val="21"/>
        </w:rPr>
      </w:pPr>
      <w:r w:rsidDel="00000000" w:rsidR="00000000" w:rsidRPr="00000000">
        <w:rPr>
          <w:rtl w:val="0"/>
        </w:rPr>
      </w:r>
    </w:p>
    <w:p w:rsidR="00000000" w:rsidDel="00000000" w:rsidP="00000000" w:rsidRDefault="00000000" w:rsidRPr="00000000" w14:paraId="00000031">
      <w:pPr>
        <w:pageBreakBefore w:val="0"/>
        <w:rPr>
          <w:color w:val="172b4d"/>
          <w:sz w:val="21"/>
          <w:szCs w:val="21"/>
        </w:rPr>
      </w:pPr>
      <w:r w:rsidDel="00000000" w:rsidR="00000000" w:rsidRPr="00000000">
        <w:rPr>
          <w:color w:val="172b4d"/>
          <w:sz w:val="21"/>
          <w:szCs w:val="21"/>
          <w:rtl w:val="0"/>
        </w:rPr>
        <w:t xml:space="preserve">For more information regarding these guidelines, you may wish to review the </w:t>
      </w:r>
      <w:hyperlink r:id="rId6">
        <w:r w:rsidDel="00000000" w:rsidR="00000000" w:rsidRPr="00000000">
          <w:rPr>
            <w:color w:val="1155cc"/>
            <w:sz w:val="21"/>
            <w:szCs w:val="21"/>
            <w:u w:val="single"/>
            <w:rtl w:val="0"/>
          </w:rPr>
          <w:t xml:space="preserve">explanation</w:t>
        </w:r>
      </w:hyperlink>
      <w:r w:rsidDel="00000000" w:rsidR="00000000" w:rsidRPr="00000000">
        <w:rPr>
          <w:color w:val="172b4d"/>
          <w:sz w:val="21"/>
          <w:szCs w:val="21"/>
          <w:rtl w:val="0"/>
        </w:rPr>
        <w:t xml:space="preserve"> provided by state Superintendent Chris Reykdal. </w:t>
      </w:r>
    </w:p>
    <w:p w:rsidR="00000000" w:rsidDel="00000000" w:rsidP="00000000" w:rsidRDefault="00000000" w:rsidRPr="00000000" w14:paraId="00000032">
      <w:pPr>
        <w:pageBreakBefore w:val="0"/>
        <w:rPr>
          <w:color w:val="172b4d"/>
          <w:sz w:val="21"/>
          <w:szCs w:val="21"/>
        </w:rPr>
      </w:pPr>
      <w:r w:rsidDel="00000000" w:rsidR="00000000" w:rsidRPr="00000000">
        <w:rPr>
          <w:color w:val="172b4d"/>
          <w:sz w:val="21"/>
          <w:szCs w:val="21"/>
          <w:rtl w:val="0"/>
        </w:rPr>
        <w:t xml:space="preserve"> </w:t>
      </w:r>
    </w:p>
    <w:p w:rsidR="00000000" w:rsidDel="00000000" w:rsidP="00000000" w:rsidRDefault="00000000" w:rsidRPr="00000000" w14:paraId="00000033">
      <w:pPr>
        <w:pageBreakBefore w:val="0"/>
        <w:rPr>
          <w:i w:val="1"/>
          <w:color w:val="172b4d"/>
          <w:sz w:val="21"/>
          <w:szCs w:val="21"/>
        </w:rPr>
      </w:pPr>
      <w:r w:rsidDel="00000000" w:rsidR="00000000" w:rsidRPr="00000000">
        <w:rPr>
          <w:i w:val="1"/>
          <w:color w:val="172b4d"/>
          <w:sz w:val="21"/>
          <w:szCs w:val="21"/>
          <w:rtl w:val="0"/>
        </w:rPr>
        <w:t xml:space="preserve">Schools may wish to adopt these same guidelines for all 8th grade students, to provide consistent reports to high schools. </w:t>
      </w:r>
    </w:p>
    <w:p w:rsidR="00000000" w:rsidDel="00000000" w:rsidP="00000000" w:rsidRDefault="00000000" w:rsidRPr="00000000" w14:paraId="00000034">
      <w:pPr>
        <w:pageBreakBefore w:val="0"/>
        <w:rPr>
          <w:color w:val="172b4d"/>
          <w:sz w:val="21"/>
          <w:szCs w:val="21"/>
        </w:rPr>
      </w:pPr>
      <w:r w:rsidDel="00000000" w:rsidR="00000000" w:rsidRPr="00000000">
        <w:rPr>
          <w:color w:val="172b4d"/>
          <w:sz w:val="21"/>
          <w:szCs w:val="21"/>
          <w:rtl w:val="0"/>
        </w:rPr>
        <w:t xml:space="preserve"> </w:t>
      </w:r>
    </w:p>
    <w:p w:rsidR="00000000" w:rsidDel="00000000" w:rsidP="00000000" w:rsidRDefault="00000000" w:rsidRPr="00000000" w14:paraId="00000035">
      <w:pPr>
        <w:pageBreakBefore w:val="0"/>
        <w:rPr>
          <w:b w:val="1"/>
          <w:color w:val="172b4d"/>
          <w:sz w:val="21"/>
          <w:szCs w:val="21"/>
        </w:rPr>
      </w:pPr>
      <w:r w:rsidDel="00000000" w:rsidR="00000000" w:rsidRPr="00000000">
        <w:rPr>
          <w:b w:val="1"/>
          <w:color w:val="172b4d"/>
          <w:sz w:val="21"/>
          <w:szCs w:val="21"/>
          <w:rtl w:val="0"/>
        </w:rPr>
        <w:t xml:space="preserve">How should we assign grades for K-8 non credit-bearing courses during distance learning? </w:t>
      </w:r>
    </w:p>
    <w:p w:rsidR="00000000" w:rsidDel="00000000" w:rsidP="00000000" w:rsidRDefault="00000000" w:rsidRPr="00000000" w14:paraId="00000036">
      <w:pPr>
        <w:pageBreakBefore w:val="0"/>
        <w:rPr>
          <w:color w:val="172b4d"/>
          <w:sz w:val="21"/>
          <w:szCs w:val="21"/>
        </w:rPr>
      </w:pPr>
      <w:r w:rsidDel="00000000" w:rsidR="00000000" w:rsidRPr="00000000">
        <w:rPr>
          <w:rtl w:val="0"/>
        </w:rPr>
      </w:r>
    </w:p>
    <w:tbl>
      <w:tblPr>
        <w:tblStyle w:val="Table2"/>
        <w:tblW w:w="102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2055"/>
        <w:gridCol w:w="3165"/>
        <w:gridCol w:w="3390"/>
        <w:tblGridChange w:id="0">
          <w:tblGrid>
            <w:gridCol w:w="1605"/>
            <w:gridCol w:w="2055"/>
            <w:gridCol w:w="3165"/>
            <w:gridCol w:w="339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color w:val="172b4d"/>
                <w:sz w:val="21"/>
                <w:szCs w:val="2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jc w:val="center"/>
              <w:rPr>
                <w:b w:val="1"/>
                <w:color w:val="172b4d"/>
                <w:sz w:val="21"/>
                <w:szCs w:val="21"/>
              </w:rPr>
            </w:pPr>
            <w:r w:rsidDel="00000000" w:rsidR="00000000" w:rsidRPr="00000000">
              <w:rPr>
                <w:b w:val="1"/>
                <w:color w:val="172b4d"/>
                <w:sz w:val="21"/>
                <w:szCs w:val="21"/>
                <w:rtl w:val="0"/>
              </w:rPr>
              <w:t xml:space="preserve">If you traditionally use an A, B, C, D, F scale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jc w:val="center"/>
              <w:rPr>
                <w:b w:val="1"/>
                <w:color w:val="172b4d"/>
                <w:sz w:val="21"/>
                <w:szCs w:val="21"/>
              </w:rPr>
            </w:pPr>
            <w:r w:rsidDel="00000000" w:rsidR="00000000" w:rsidRPr="00000000">
              <w:rPr>
                <w:b w:val="1"/>
                <w:color w:val="172b4d"/>
                <w:sz w:val="21"/>
                <w:szCs w:val="21"/>
                <w:rtl w:val="0"/>
              </w:rPr>
              <w:t xml:space="preserve">If you traditionally use a standards-based grading approach</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jc w:val="center"/>
              <w:rPr>
                <w:b w:val="1"/>
                <w:i w:val="1"/>
                <w:color w:val="172b4d"/>
                <w:sz w:val="21"/>
                <w:szCs w:val="21"/>
                <w:u w:val="single"/>
              </w:rPr>
            </w:pPr>
            <w:r w:rsidDel="00000000" w:rsidR="00000000" w:rsidRPr="00000000">
              <w:rPr>
                <w:b w:val="1"/>
                <w:color w:val="172b4d"/>
                <w:sz w:val="21"/>
                <w:szCs w:val="21"/>
                <w:rtl w:val="0"/>
              </w:rPr>
              <w:t xml:space="preserve">If you want to continue using an A, B, C, D, F scale </w:t>
            </w:r>
            <w:r w:rsidDel="00000000" w:rsidR="00000000" w:rsidRPr="00000000">
              <w:rPr>
                <w:b w:val="1"/>
                <w:i w:val="1"/>
                <w:color w:val="172b4d"/>
                <w:sz w:val="21"/>
                <w:szCs w:val="21"/>
                <w:u w:val="single"/>
                <w:rtl w:val="0"/>
              </w:rPr>
              <w:t xml:space="preserve">OR</w:t>
            </w:r>
          </w:p>
          <w:p w:rsidR="00000000" w:rsidDel="00000000" w:rsidP="00000000" w:rsidRDefault="00000000" w:rsidRPr="00000000" w14:paraId="0000003B">
            <w:pPr>
              <w:pageBreakBefore w:val="0"/>
              <w:widowControl w:val="0"/>
              <w:spacing w:line="240" w:lineRule="auto"/>
              <w:jc w:val="center"/>
              <w:rPr>
                <w:b w:val="1"/>
                <w:color w:val="172b4d"/>
                <w:sz w:val="21"/>
                <w:szCs w:val="21"/>
              </w:rPr>
            </w:pPr>
            <w:r w:rsidDel="00000000" w:rsidR="00000000" w:rsidRPr="00000000">
              <w:rPr>
                <w:b w:val="1"/>
                <w:color w:val="172b4d"/>
                <w:sz w:val="21"/>
                <w:szCs w:val="21"/>
                <w:rtl w:val="0"/>
              </w:rPr>
              <w:t xml:space="preserve">If you must use an A, B, C, D, F scale for HS credit-bearing courses </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rPr>
                <w:b w:val="1"/>
                <w:color w:val="172b4d"/>
                <w:sz w:val="21"/>
                <w:szCs w:val="21"/>
              </w:rPr>
            </w:pPr>
            <w:r w:rsidDel="00000000" w:rsidR="00000000" w:rsidRPr="00000000">
              <w:rPr>
                <w:b w:val="1"/>
                <w:color w:val="172b4d"/>
                <w:sz w:val="21"/>
                <w:szCs w:val="21"/>
                <w:rtl w:val="0"/>
              </w:rPr>
              <w:t xml:space="preserve">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color w:val="172b4d"/>
                <w:sz w:val="21"/>
                <w:szCs w:val="21"/>
              </w:rPr>
            </w:pPr>
            <w:r w:rsidDel="00000000" w:rsidR="00000000" w:rsidRPr="00000000">
              <w:rPr>
                <w:color w:val="172b4d"/>
                <w:sz w:val="21"/>
                <w:szCs w:val="21"/>
                <w:rtl w:val="0"/>
              </w:rPr>
              <w:t xml:space="preserve">Mark “complete” or “incomplete.” Provide feedback and require revisions / resubmissions as necessary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color w:val="172b4d"/>
                <w:sz w:val="21"/>
                <w:szCs w:val="21"/>
              </w:rPr>
            </w:pPr>
            <w:r w:rsidDel="00000000" w:rsidR="00000000" w:rsidRPr="00000000">
              <w:rPr>
                <w:color w:val="172b4d"/>
                <w:sz w:val="21"/>
                <w:szCs w:val="21"/>
                <w:rtl w:val="0"/>
              </w:rPr>
              <w:t xml:space="preserve">Continue to use a standards-based rubric to grade and provide feedback on assignments. Require revisions / resubmissions as necessary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color w:val="172b4d"/>
                <w:sz w:val="21"/>
                <w:szCs w:val="21"/>
              </w:rPr>
            </w:pPr>
            <w:r w:rsidDel="00000000" w:rsidR="00000000" w:rsidRPr="00000000">
              <w:rPr>
                <w:color w:val="172b4d"/>
                <w:sz w:val="21"/>
                <w:szCs w:val="21"/>
                <w:rtl w:val="0"/>
              </w:rPr>
              <w:t xml:space="preserve">Mark assignments as you normally do, but provide multiple opportunities for students to make up, revise, and re-submit assignments. If students do not submit assignments, mark them “incomplete” instead of assigning a zero. </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b w:val="1"/>
                <w:color w:val="172b4d"/>
                <w:sz w:val="21"/>
                <w:szCs w:val="21"/>
              </w:rPr>
            </w:pPr>
            <w:r w:rsidDel="00000000" w:rsidR="00000000" w:rsidRPr="00000000">
              <w:rPr>
                <w:b w:val="1"/>
                <w:color w:val="172b4d"/>
                <w:sz w:val="21"/>
                <w:szCs w:val="21"/>
                <w:rtl w:val="0"/>
              </w:rPr>
              <w:t xml:space="preserve">Trimester grades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color w:val="172b4d"/>
                <w:sz w:val="21"/>
                <w:szCs w:val="21"/>
              </w:rPr>
            </w:pPr>
            <w:r w:rsidDel="00000000" w:rsidR="00000000" w:rsidRPr="00000000">
              <w:rPr>
                <w:color w:val="172b4d"/>
                <w:sz w:val="21"/>
                <w:szCs w:val="21"/>
                <w:rtl w:val="0"/>
              </w:rPr>
              <w:t xml:space="preserve">Assign “Pass” or “No Credit.” </w:t>
            </w:r>
          </w:p>
          <w:p w:rsidR="00000000" w:rsidDel="00000000" w:rsidP="00000000" w:rsidRDefault="00000000" w:rsidRPr="00000000" w14:paraId="00000042">
            <w:pPr>
              <w:pageBreakBefore w:val="0"/>
              <w:widowControl w:val="0"/>
              <w:spacing w:line="240" w:lineRule="auto"/>
              <w:rPr>
                <w:color w:val="172b4d"/>
                <w:sz w:val="21"/>
                <w:szCs w:val="21"/>
              </w:rPr>
            </w:pPr>
            <w:r w:rsidDel="00000000" w:rsidR="00000000" w:rsidRPr="00000000">
              <w:rPr>
                <w:color w:val="172b4d"/>
                <w:sz w:val="21"/>
                <w:szCs w:val="21"/>
                <w:rtl w:val="0"/>
              </w:rPr>
              <w:t xml:space="preserve">Pass = the student engaged in learning regularly and turned in assignments consistently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color w:val="172b4d"/>
                <w:sz w:val="21"/>
                <w:szCs w:val="21"/>
              </w:rPr>
            </w:pPr>
            <w:r w:rsidDel="00000000" w:rsidR="00000000" w:rsidRPr="00000000">
              <w:rPr>
                <w:color w:val="172b4d"/>
                <w:sz w:val="21"/>
                <w:szCs w:val="21"/>
                <w:rtl w:val="0"/>
              </w:rPr>
              <w:t xml:space="preserve">Only provide feedback on standards addressed during the trimester. Mark other standards “not assessed.” If you covered the standard but the student did not turn in assignments linked to that standard, mark as “not assessed.”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rPr>
                <w:color w:val="172b4d"/>
                <w:sz w:val="21"/>
                <w:szCs w:val="21"/>
              </w:rPr>
            </w:pPr>
            <w:r w:rsidDel="00000000" w:rsidR="00000000" w:rsidRPr="00000000">
              <w:rPr>
                <w:color w:val="172b4d"/>
                <w:sz w:val="21"/>
                <w:szCs w:val="21"/>
                <w:rtl w:val="0"/>
              </w:rPr>
              <w:t xml:space="preserve">Students should earn the higher of: 1.) The grade they are earning for the current trimester based on assignments completed during distance learning OR 2.) An average of their grades for all three trimesters. </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b w:val="1"/>
                <w:color w:val="172b4d"/>
                <w:sz w:val="21"/>
                <w:szCs w:val="21"/>
              </w:rPr>
            </w:pPr>
            <w:r w:rsidDel="00000000" w:rsidR="00000000" w:rsidRPr="00000000">
              <w:rPr>
                <w:b w:val="1"/>
                <w:color w:val="172b4d"/>
                <w:sz w:val="21"/>
                <w:szCs w:val="21"/>
                <w:rtl w:val="0"/>
              </w:rPr>
              <w:t xml:space="preserve">Final grades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color w:val="172b4d"/>
                <w:sz w:val="21"/>
                <w:szCs w:val="21"/>
              </w:rPr>
            </w:pPr>
            <w:r w:rsidDel="00000000" w:rsidR="00000000" w:rsidRPr="00000000">
              <w:rPr>
                <w:color w:val="172b4d"/>
                <w:sz w:val="21"/>
                <w:szCs w:val="21"/>
                <w:rtl w:val="0"/>
              </w:rPr>
              <w:t xml:space="preserve">An average of the student’s grade for the first two trimesters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color w:val="172b4d"/>
                <w:sz w:val="21"/>
                <w:szCs w:val="21"/>
              </w:rPr>
            </w:pPr>
            <w:r w:rsidDel="00000000" w:rsidR="00000000" w:rsidRPr="00000000">
              <w:rPr>
                <w:color w:val="172b4d"/>
                <w:sz w:val="21"/>
                <w:szCs w:val="21"/>
                <w:rtl w:val="0"/>
              </w:rPr>
              <w:t xml:space="preserve">Only provide feedback on standards addressed during this school year. When determining mastery of standards, consider evidence of learning the student showed throughout the school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rPr>
                <w:color w:val="172b4d"/>
                <w:sz w:val="21"/>
                <w:szCs w:val="21"/>
              </w:rPr>
            </w:pPr>
            <w:r w:rsidDel="00000000" w:rsidR="00000000" w:rsidRPr="00000000">
              <w:rPr>
                <w:color w:val="172b4d"/>
                <w:sz w:val="21"/>
                <w:szCs w:val="21"/>
                <w:rtl w:val="0"/>
              </w:rPr>
              <w:t xml:space="preserve">Students should earn the higher of: 1.) An average of their grades for all three trimesters OR 2.) An average of their grades during the first two trimesters. </w:t>
            </w:r>
          </w:p>
        </w:tc>
      </w:tr>
    </w:tbl>
    <w:p w:rsidR="00000000" w:rsidDel="00000000" w:rsidP="00000000" w:rsidRDefault="00000000" w:rsidRPr="00000000" w14:paraId="00000049">
      <w:pPr>
        <w:pageBreakBefore w:val="0"/>
        <w:rPr>
          <w:b w:val="1"/>
          <w:color w:val="172b4d"/>
          <w:sz w:val="21"/>
          <w:szCs w:val="21"/>
        </w:rPr>
      </w:pPr>
      <w:r w:rsidDel="00000000" w:rsidR="00000000" w:rsidRPr="00000000">
        <w:rPr>
          <w:rtl w:val="0"/>
        </w:rPr>
      </w:r>
    </w:p>
    <w:p w:rsidR="00000000" w:rsidDel="00000000" w:rsidP="00000000" w:rsidRDefault="00000000" w:rsidRPr="00000000" w14:paraId="0000004A">
      <w:pPr>
        <w:pageBreakBefore w:val="0"/>
        <w:shd w:fill="ffffff" w:val="clear"/>
        <w:spacing w:after="120" w:lineRule="auto"/>
        <w:rPr>
          <w:b w:val="1"/>
          <w:color w:val="172b4d"/>
          <w:sz w:val="21"/>
          <w:szCs w:val="21"/>
        </w:rPr>
      </w:pPr>
      <w:r w:rsidDel="00000000" w:rsidR="00000000" w:rsidRPr="00000000">
        <w:rPr>
          <w:b w:val="1"/>
          <w:color w:val="172b4d"/>
          <w:sz w:val="21"/>
          <w:szCs w:val="21"/>
          <w:rtl w:val="0"/>
        </w:rPr>
        <w:t xml:space="preserve">Should we administer finals during distance learning?</w:t>
      </w:r>
    </w:p>
    <w:p w:rsidR="00000000" w:rsidDel="00000000" w:rsidP="00000000" w:rsidRDefault="00000000" w:rsidRPr="00000000" w14:paraId="0000004B">
      <w:pPr>
        <w:pageBreakBefore w:val="0"/>
        <w:shd w:fill="ffffff" w:val="clear"/>
        <w:spacing w:after="120" w:lineRule="auto"/>
        <w:rPr>
          <w:b w:val="1"/>
          <w:color w:val="172b4d"/>
          <w:sz w:val="21"/>
          <w:szCs w:val="21"/>
        </w:rPr>
      </w:pPr>
      <w:r w:rsidDel="00000000" w:rsidR="00000000" w:rsidRPr="00000000">
        <w:rPr>
          <w:color w:val="172b4d"/>
          <w:sz w:val="21"/>
          <w:szCs w:val="21"/>
          <w:rtl w:val="0"/>
        </w:rPr>
        <w:t xml:space="preserve">Because schools cannot guarantee that all students will have access to the same testing conditions / environment, it is not recommended that Archdiocesan schools administer finals this year. Schools who wish to utilize summative assessments might wish to explore portfolios and / or final projects as alternatives. </w:t>
      </w:r>
      <w:r w:rsidDel="00000000" w:rsidR="00000000" w:rsidRPr="00000000">
        <w:rPr>
          <w:rtl w:val="0"/>
        </w:rPr>
      </w:r>
    </w:p>
    <w:p w:rsidR="00000000" w:rsidDel="00000000" w:rsidP="00000000" w:rsidRDefault="00000000" w:rsidRPr="00000000" w14:paraId="0000004C">
      <w:pPr>
        <w:pageBreakBefore w:val="0"/>
        <w:shd w:fill="ffffff" w:val="clear"/>
        <w:spacing w:after="120" w:lineRule="auto"/>
        <w:rPr>
          <w:b w:val="1"/>
          <w:color w:val="172b4d"/>
          <w:sz w:val="21"/>
          <w:szCs w:val="21"/>
        </w:rPr>
      </w:pPr>
      <w:r w:rsidDel="00000000" w:rsidR="00000000" w:rsidRPr="00000000">
        <w:rPr>
          <w:b w:val="1"/>
          <w:color w:val="172b4d"/>
          <w:sz w:val="21"/>
          <w:szCs w:val="21"/>
          <w:rtl w:val="0"/>
        </w:rPr>
        <w:t xml:space="preserve">How can we ensure fair and equitable supervision of at-home assessment?</w:t>
      </w:r>
    </w:p>
    <w:p w:rsidR="00000000" w:rsidDel="00000000" w:rsidP="00000000" w:rsidRDefault="00000000" w:rsidRPr="00000000" w14:paraId="0000004D">
      <w:pPr>
        <w:pageBreakBefore w:val="0"/>
        <w:shd w:fill="ffffff" w:val="clear"/>
        <w:spacing w:after="120" w:lineRule="auto"/>
        <w:rPr>
          <w:color w:val="172b4d"/>
          <w:sz w:val="21"/>
          <w:szCs w:val="21"/>
        </w:rPr>
      </w:pPr>
      <w:r w:rsidDel="00000000" w:rsidR="00000000" w:rsidRPr="00000000">
        <w:rPr>
          <w:color w:val="172b4d"/>
          <w:sz w:val="21"/>
          <w:szCs w:val="21"/>
          <w:rtl w:val="0"/>
        </w:rPr>
        <w:t xml:space="preserve">There is no way to ensure that all students have access to equitable at-home testing conditions. As such, we recommend project-based assessments or assessments which provide multiple means for students to demonstrate their learning. For example, a student could answer a question about a novel they are reading via a voice recording, written response, or multi-media presentation.</w:t>
      </w:r>
    </w:p>
    <w:p w:rsidR="00000000" w:rsidDel="00000000" w:rsidP="00000000" w:rsidRDefault="00000000" w:rsidRPr="00000000" w14:paraId="0000004E">
      <w:pPr>
        <w:pageBreakBefore w:val="0"/>
        <w:shd w:fill="ffffff" w:val="clear"/>
        <w:spacing w:after="120" w:lineRule="auto"/>
        <w:rPr>
          <w:b w:val="1"/>
          <w:color w:val="172b4d"/>
          <w:sz w:val="21"/>
          <w:szCs w:val="21"/>
        </w:rPr>
      </w:pPr>
      <w:r w:rsidDel="00000000" w:rsidR="00000000" w:rsidRPr="00000000">
        <w:rPr>
          <w:b w:val="1"/>
          <w:color w:val="172b4d"/>
          <w:sz w:val="21"/>
          <w:szCs w:val="21"/>
          <w:rtl w:val="0"/>
        </w:rPr>
        <w:t xml:space="preserve">What should we include on students’ report cards and final record cards?</w:t>
      </w:r>
    </w:p>
    <w:p w:rsidR="00000000" w:rsidDel="00000000" w:rsidP="00000000" w:rsidRDefault="00000000" w:rsidRPr="00000000" w14:paraId="0000004F">
      <w:pPr>
        <w:pageBreakBefore w:val="0"/>
        <w:rPr>
          <w:sz w:val="21"/>
          <w:szCs w:val="21"/>
        </w:rPr>
      </w:pPr>
      <w:r w:rsidDel="00000000" w:rsidR="00000000" w:rsidRPr="00000000">
        <w:rPr>
          <w:sz w:val="21"/>
          <w:szCs w:val="21"/>
          <w:rtl w:val="0"/>
        </w:rPr>
        <w:t xml:space="preserve">T</w:t>
      </w:r>
      <w:r w:rsidDel="00000000" w:rsidR="00000000" w:rsidRPr="00000000">
        <w:rPr>
          <w:sz w:val="21"/>
          <w:szCs w:val="21"/>
          <w:rtl w:val="0"/>
        </w:rPr>
        <w:t xml:space="preserve">rimester / semester report cards and the student’s permanent record cards should indicate “COVID-19” for any learning that occurs during the closure. If you wish to include a statement, you can write “Instruction from March 16, 2020 </w:t>
      </w:r>
      <w:r w:rsidDel="00000000" w:rsidR="00000000" w:rsidRPr="00000000">
        <w:rPr>
          <w:sz w:val="21"/>
          <w:szCs w:val="21"/>
          <w:highlight w:val="white"/>
          <w:rtl w:val="0"/>
        </w:rPr>
        <w:t xml:space="preserve">to the end of the 2019 - 2020 school year</w:t>
      </w:r>
      <w:r w:rsidDel="00000000" w:rsidR="00000000" w:rsidRPr="00000000">
        <w:rPr>
          <w:sz w:val="21"/>
          <w:szCs w:val="21"/>
          <w:rtl w:val="0"/>
        </w:rPr>
        <w:t xml:space="preserve"> occurred via Distance Learning due to the COVID-19 pandemic.” </w:t>
      </w:r>
    </w:p>
    <w:p w:rsidR="00000000" w:rsidDel="00000000" w:rsidP="00000000" w:rsidRDefault="00000000" w:rsidRPr="00000000" w14:paraId="00000050">
      <w:pPr>
        <w:pageBreakBefore w:val="0"/>
        <w:rPr>
          <w:color w:val="172b4d"/>
          <w:sz w:val="21"/>
          <w:szCs w:val="21"/>
        </w:rPr>
      </w:pPr>
      <w:r w:rsidDel="00000000" w:rsidR="00000000" w:rsidRPr="00000000">
        <w:rPr>
          <w:color w:val="172b4d"/>
          <w:sz w:val="21"/>
          <w:szCs w:val="21"/>
          <w:rtl w:val="0"/>
        </w:rPr>
        <w:t xml:space="preserve"> </w:t>
      </w:r>
    </w:p>
    <w:p w:rsidR="00000000" w:rsidDel="00000000" w:rsidP="00000000" w:rsidRDefault="00000000" w:rsidRPr="00000000" w14:paraId="00000051">
      <w:pPr>
        <w:pageBreakBefore w:val="0"/>
        <w:rPr>
          <w:b w:val="1"/>
          <w:color w:val="172b4d"/>
          <w:sz w:val="21"/>
          <w:szCs w:val="21"/>
        </w:rPr>
      </w:pPr>
      <w:r w:rsidDel="00000000" w:rsidR="00000000" w:rsidRPr="00000000">
        <w:rPr>
          <w:b w:val="1"/>
          <w:color w:val="172b4d"/>
          <w:sz w:val="21"/>
          <w:szCs w:val="21"/>
          <w:rtl w:val="0"/>
        </w:rPr>
        <w:t xml:space="preserve">How should we report attendance on report cards? </w:t>
      </w:r>
    </w:p>
    <w:p w:rsidR="00000000" w:rsidDel="00000000" w:rsidP="00000000" w:rsidRDefault="00000000" w:rsidRPr="00000000" w14:paraId="00000052">
      <w:pPr>
        <w:pageBreakBefore w:val="0"/>
        <w:rPr>
          <w:color w:val="172b4d"/>
          <w:sz w:val="21"/>
          <w:szCs w:val="21"/>
        </w:rPr>
      </w:pPr>
      <w:r w:rsidDel="00000000" w:rsidR="00000000" w:rsidRPr="00000000">
        <w:rPr>
          <w:rtl w:val="0"/>
        </w:rPr>
      </w:r>
    </w:p>
    <w:p w:rsidR="00000000" w:rsidDel="00000000" w:rsidP="00000000" w:rsidRDefault="00000000" w:rsidRPr="00000000" w14:paraId="00000053">
      <w:pPr>
        <w:pageBreakBefore w:val="0"/>
        <w:rPr>
          <w:rFonts w:ascii="Calibri" w:cs="Calibri" w:eastAsia="Calibri" w:hAnsi="Calibri"/>
          <w:color w:val="212121"/>
        </w:rPr>
      </w:pPr>
      <w:r w:rsidDel="00000000" w:rsidR="00000000" w:rsidRPr="00000000">
        <w:rPr>
          <w:color w:val="172b4d"/>
          <w:sz w:val="21"/>
          <w:szCs w:val="21"/>
          <w:rtl w:val="0"/>
        </w:rPr>
        <w:t xml:space="preserve">Report attendance through March 12th normally on report cards. For all days after March 12th, you can designate “COVID-19” as the attendance marker. </w:t>
      </w:r>
      <w:r w:rsidDel="00000000" w:rsidR="00000000" w:rsidRPr="00000000">
        <w:rPr>
          <w:rtl w:val="0"/>
        </w:rPr>
      </w:r>
    </w:p>
    <w:p w:rsidR="00000000" w:rsidDel="00000000" w:rsidP="00000000" w:rsidRDefault="00000000" w:rsidRPr="00000000" w14:paraId="00000054">
      <w:pPr>
        <w:pageBreakBefore w:val="0"/>
        <w:shd w:fill="ffffff" w:val="clear"/>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Op2-wokFU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